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line="233" w:lineRule="auto"/>
        <w:rPr>
          <w:sz w:val="20"/>
          <w:szCs w:val="20"/>
          <w:color w:val="auto"/>
        </w:rPr>
      </w:pPr>
      <w:r>
        <w:rPr>
          <w:rFonts w:ascii="Arial" w:cs="Arial" w:eastAsia="Arial" w:hAnsi="Arial"/>
          <w:sz w:val="14"/>
          <w:szCs w:val="14"/>
          <w:b w:val="1"/>
          <w:bCs w:val="1"/>
          <w:color w:val="auto"/>
        </w:rPr>
        <w:t>Confidential draft No. 2 as confidentially submitted to the Securities Exchange Commission on March 17, 2020. This draft registration statement has not been filed publicly with the Securities and Exchange Commission and all information herein remains strictly confidential.</w:t>
      </w:r>
    </w:p>
    <w:p>
      <w:pPr>
        <w:ind w:left="92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103505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118745</wp:posOffset>
            </wp:positionV>
            <wp:extent cx="1491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ASANA,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2880" w:type="dxa"/>
            <w:vAlign w:val="bottom"/>
          </w:tcPr>
          <w:p>
            <w:pPr>
              <w:jc w:val="center"/>
              <w:ind w:right="948"/>
              <w:spacing w:after="0"/>
              <w:rPr>
                <w:sz w:val="20"/>
                <w:szCs w:val="20"/>
                <w:color w:val="auto"/>
              </w:rPr>
            </w:pPr>
            <w:r>
              <w:rPr>
                <w:rFonts w:ascii="Arial" w:cs="Arial" w:eastAsia="Arial" w:hAnsi="Arial"/>
                <w:sz w:val="14"/>
                <w:szCs w:val="14"/>
                <w:b w:val="1"/>
                <w:bCs w:val="1"/>
                <w:color w:val="auto"/>
                <w:w w:val="94"/>
              </w:rPr>
              <w:t>Delaware</w:t>
            </w:r>
          </w:p>
        </w:tc>
        <w:tc>
          <w:tcPr>
            <w:tcW w:w="392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7372</w:t>
            </w:r>
          </w:p>
        </w:tc>
        <w:tc>
          <w:tcPr>
            <w:tcW w:w="2200" w:type="dxa"/>
            <w:vAlign w:val="bottom"/>
          </w:tcPr>
          <w:p>
            <w:pPr>
              <w:jc w:val="center"/>
              <w:ind w:left="1068"/>
              <w:spacing w:after="0"/>
              <w:rPr>
                <w:sz w:val="20"/>
                <w:szCs w:val="20"/>
                <w:color w:val="auto"/>
              </w:rPr>
            </w:pPr>
            <w:r>
              <w:rPr>
                <w:rFonts w:ascii="Arial" w:cs="Arial" w:eastAsia="Arial" w:hAnsi="Arial"/>
                <w:sz w:val="14"/>
                <w:szCs w:val="14"/>
                <w:b w:val="1"/>
                <w:bCs w:val="1"/>
                <w:color w:val="auto"/>
                <w:w w:val="93"/>
              </w:rPr>
              <w:t>26-3912448</w:t>
            </w:r>
          </w:p>
        </w:tc>
      </w:tr>
      <w:tr>
        <w:trPr>
          <w:trHeight w:val="148"/>
        </w:trPr>
        <w:tc>
          <w:tcPr>
            <w:tcW w:w="288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5"/>
              </w:rPr>
              <w:t>(Primary standard industrial</w:t>
            </w:r>
          </w:p>
        </w:tc>
        <w:tc>
          <w:tcPr>
            <w:tcW w:w="2200" w:type="dxa"/>
            <w:vAlign w:val="bottom"/>
          </w:tcPr>
          <w:p>
            <w:pPr>
              <w:jc w:val="center"/>
              <w:ind w:left="104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80" w:type="dxa"/>
            <w:vAlign w:val="bottom"/>
          </w:tcPr>
          <w:p>
            <w:pPr>
              <w:jc w:val="center"/>
              <w:ind w:right="928"/>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code number)</w:t>
            </w:r>
          </w:p>
        </w:tc>
        <w:tc>
          <w:tcPr>
            <w:tcW w:w="2200" w:type="dxa"/>
            <w:vAlign w:val="bottom"/>
          </w:tcPr>
          <w:p>
            <w:pPr>
              <w:jc w:val="center"/>
              <w:ind w:left="1048"/>
              <w:spacing w:after="0"/>
              <w:rPr>
                <w:sz w:val="20"/>
                <w:szCs w:val="20"/>
                <w:color w:val="auto"/>
              </w:rPr>
            </w:pPr>
            <w:r>
              <w:rPr>
                <w:rFonts w:ascii="Arial" w:cs="Arial" w:eastAsia="Arial" w:hAnsi="Arial"/>
                <w:sz w:val="14"/>
                <w:szCs w:val="14"/>
                <w:b w:val="1"/>
                <w:bCs w:val="1"/>
                <w:color w:val="auto"/>
                <w:w w:val="92"/>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102235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1550 Bryant Street, Suite 200</w:t>
      </w:r>
    </w:p>
    <w:p>
      <w:pPr>
        <w:jc w:val="center"/>
        <w:spacing w:after="0" w:line="226" w:lineRule="auto"/>
        <w:rPr>
          <w:sz w:val="20"/>
          <w:szCs w:val="20"/>
          <w:color w:val="auto"/>
        </w:rPr>
      </w:pPr>
      <w:r>
        <w:rPr>
          <w:rFonts w:ascii="Arial" w:cs="Arial" w:eastAsia="Arial" w:hAnsi="Arial"/>
          <w:sz w:val="14"/>
          <w:szCs w:val="14"/>
          <w:b w:val="1"/>
          <w:bCs w:val="1"/>
          <w:color w:val="auto"/>
        </w:rPr>
        <w:t>San Francisco, CA 94103</w:t>
      </w:r>
    </w:p>
    <w:p>
      <w:pPr>
        <w:jc w:val="center"/>
        <w:spacing w:after="0" w:line="221" w:lineRule="auto"/>
        <w:rPr>
          <w:sz w:val="20"/>
          <w:szCs w:val="20"/>
          <w:color w:val="auto"/>
        </w:rPr>
      </w:pPr>
      <w:r>
        <w:rPr>
          <w:rFonts w:ascii="Arial" w:cs="Arial" w:eastAsia="Arial" w:hAnsi="Arial"/>
          <w:sz w:val="14"/>
          <w:szCs w:val="14"/>
          <w:b w:val="1"/>
          <w:bCs w:val="1"/>
          <w:color w:val="auto"/>
        </w:rPr>
        <w:t>(415) 525-3888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99060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Dustin Moskovitz</w:t>
      </w:r>
    </w:p>
    <w:p>
      <w:pPr>
        <w:jc w:val="center"/>
        <w:spacing w:after="0" w:line="226" w:lineRule="auto"/>
        <w:rPr>
          <w:sz w:val="20"/>
          <w:szCs w:val="20"/>
          <w:color w:val="auto"/>
        </w:rPr>
      </w:pPr>
      <w:r>
        <w:rPr>
          <w:rFonts w:ascii="Arial" w:cs="Arial" w:eastAsia="Arial" w:hAnsi="Arial"/>
          <w:sz w:val="14"/>
          <w:szCs w:val="14"/>
          <w:b w:val="1"/>
          <w:bCs w:val="1"/>
          <w:color w:val="auto"/>
        </w:rPr>
        <w:t>President, Chief Executive Officer, and Chair</w:t>
      </w:r>
    </w:p>
    <w:p>
      <w:pPr>
        <w:jc w:val="center"/>
        <w:spacing w:after="0" w:line="221" w:lineRule="auto"/>
        <w:rPr>
          <w:sz w:val="20"/>
          <w:szCs w:val="20"/>
          <w:color w:val="auto"/>
        </w:rPr>
      </w:pPr>
      <w:r>
        <w:rPr>
          <w:rFonts w:ascii="Arial" w:cs="Arial" w:eastAsia="Arial" w:hAnsi="Arial"/>
          <w:sz w:val="14"/>
          <w:szCs w:val="14"/>
          <w:b w:val="1"/>
          <w:bCs w:val="1"/>
          <w:color w:val="auto"/>
        </w:rPr>
        <w:t>Asana, Inc.</w:t>
      </w:r>
    </w:p>
    <w:p>
      <w:pPr>
        <w:jc w:val="center"/>
        <w:spacing w:after="0" w:line="222" w:lineRule="auto"/>
        <w:rPr>
          <w:sz w:val="20"/>
          <w:szCs w:val="20"/>
          <w:color w:val="auto"/>
        </w:rPr>
      </w:pPr>
      <w:r>
        <w:rPr>
          <w:rFonts w:ascii="Arial" w:cs="Arial" w:eastAsia="Arial" w:hAnsi="Arial"/>
          <w:sz w:val="14"/>
          <w:szCs w:val="14"/>
          <w:b w:val="1"/>
          <w:bCs w:val="1"/>
          <w:color w:val="auto"/>
        </w:rPr>
        <w:t>1550 Bryant Street, Suite 200</w:t>
      </w:r>
    </w:p>
    <w:p>
      <w:pPr>
        <w:jc w:val="center"/>
        <w:spacing w:after="0" w:line="221" w:lineRule="auto"/>
        <w:rPr>
          <w:sz w:val="20"/>
          <w:szCs w:val="20"/>
          <w:color w:val="auto"/>
        </w:rPr>
      </w:pPr>
      <w:r>
        <w:rPr>
          <w:rFonts w:ascii="Arial" w:cs="Arial" w:eastAsia="Arial" w:hAnsi="Arial"/>
          <w:sz w:val="14"/>
          <w:szCs w:val="14"/>
          <w:b w:val="1"/>
          <w:bCs w:val="1"/>
          <w:color w:val="auto"/>
        </w:rPr>
        <w:t>San Francisco, CA 94103</w:t>
      </w:r>
    </w:p>
    <w:p>
      <w:pPr>
        <w:jc w:val="center"/>
        <w:spacing w:after="0" w:line="222" w:lineRule="auto"/>
        <w:rPr>
          <w:sz w:val="20"/>
          <w:szCs w:val="20"/>
          <w:color w:val="auto"/>
        </w:rPr>
      </w:pPr>
      <w:r>
        <w:rPr>
          <w:rFonts w:ascii="Arial" w:cs="Arial" w:eastAsia="Arial" w:hAnsi="Arial"/>
          <w:sz w:val="14"/>
          <w:szCs w:val="14"/>
          <w:b w:val="1"/>
          <w:bCs w:val="1"/>
          <w:color w:val="auto"/>
        </w:rPr>
        <w:t>(415) 525-3888</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99060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8" w:lineRule="exact"/>
        <w:rPr>
          <w:sz w:val="24"/>
          <w:szCs w:val="24"/>
          <w:color w:val="auto"/>
        </w:rPr>
      </w:pPr>
    </w:p>
    <w:tbl>
      <w:tblPr>
        <w:tblLayout w:type="fixed"/>
        <w:tblInd w:w="1260" w:type="dxa"/>
        <w:tblCellMar>
          <w:top w:w="0" w:type="dxa"/>
          <w:left w:w="0" w:type="dxa"/>
          <w:bottom w:w="0" w:type="dxa"/>
          <w:right w:w="0" w:type="dxa"/>
        </w:tblCellMar>
      </w:tblPr>
      <w:tr>
        <w:trPr>
          <w:trHeight w:val="182"/>
        </w:trPr>
        <w:tc>
          <w:tcPr>
            <w:tcW w:w="2340" w:type="dxa"/>
            <w:vAlign w:val="bottom"/>
          </w:tcPr>
          <w:p>
            <w:pPr>
              <w:spacing w:after="0"/>
              <w:rPr>
                <w:sz w:val="15"/>
                <w:szCs w:val="15"/>
                <w:color w:val="auto"/>
              </w:rPr>
            </w:pPr>
          </w:p>
        </w:tc>
        <w:tc>
          <w:tcPr>
            <w:tcW w:w="3900" w:type="dxa"/>
            <w:vAlign w:val="bottom"/>
          </w:tcPr>
          <w:p>
            <w:pPr>
              <w:ind w:left="1720"/>
              <w:spacing w:after="0"/>
              <w:rPr>
                <w:sz w:val="20"/>
                <w:szCs w:val="20"/>
                <w:color w:val="auto"/>
              </w:rPr>
            </w:pPr>
            <w:r>
              <w:rPr>
                <w:rFonts w:ascii="Arial" w:cs="Arial" w:eastAsia="Arial" w:hAnsi="Arial"/>
                <w:sz w:val="14"/>
                <w:szCs w:val="14"/>
                <w:b w:val="1"/>
                <w:bCs w:val="1"/>
                <w:i w:val="1"/>
                <w:iCs w:val="1"/>
                <w:color w:val="auto"/>
              </w:rPr>
              <w:t>Copies to:</w:t>
            </w:r>
          </w:p>
        </w:tc>
        <w:tc>
          <w:tcPr>
            <w:tcW w:w="3240" w:type="dxa"/>
            <w:vAlign w:val="bottom"/>
          </w:tcPr>
          <w:p>
            <w:pPr>
              <w:spacing w:after="0"/>
              <w:rPr>
                <w:sz w:val="15"/>
                <w:szCs w:val="15"/>
                <w:color w:val="auto"/>
              </w:rPr>
            </w:pPr>
          </w:p>
        </w:tc>
      </w:tr>
      <w:tr>
        <w:trPr>
          <w:trHeight w:val="151"/>
        </w:trPr>
        <w:tc>
          <w:tcPr>
            <w:tcW w:w="2340" w:type="dxa"/>
            <w:vAlign w:val="bottom"/>
          </w:tcPr>
          <w:p>
            <w:pPr>
              <w:jc w:val="center"/>
              <w:ind w:right="968"/>
              <w:spacing w:after="0" w:line="151" w:lineRule="exact"/>
              <w:rPr>
                <w:sz w:val="20"/>
                <w:szCs w:val="20"/>
                <w:color w:val="auto"/>
              </w:rPr>
            </w:pPr>
            <w:r>
              <w:rPr>
                <w:rFonts w:ascii="Arial" w:cs="Arial" w:eastAsia="Arial" w:hAnsi="Arial"/>
                <w:sz w:val="14"/>
                <w:szCs w:val="14"/>
                <w:b w:val="1"/>
                <w:bCs w:val="1"/>
                <w:color w:val="auto"/>
                <w:w w:val="91"/>
              </w:rPr>
              <w:t>David J. Segre, Esq.</w:t>
            </w:r>
          </w:p>
        </w:tc>
        <w:tc>
          <w:tcPr>
            <w:tcW w:w="3900" w:type="dxa"/>
            <w:vAlign w:val="bottom"/>
          </w:tcPr>
          <w:p>
            <w:pPr>
              <w:jc w:val="center"/>
              <w:ind w:left="328"/>
              <w:spacing w:after="0" w:line="151" w:lineRule="exact"/>
              <w:rPr>
                <w:sz w:val="20"/>
                <w:szCs w:val="20"/>
                <w:color w:val="auto"/>
              </w:rPr>
            </w:pPr>
            <w:r>
              <w:rPr>
                <w:rFonts w:ascii="Arial" w:cs="Arial" w:eastAsia="Arial" w:hAnsi="Arial"/>
                <w:sz w:val="14"/>
                <w:szCs w:val="14"/>
                <w:b w:val="1"/>
                <w:bCs w:val="1"/>
                <w:color w:val="auto"/>
                <w:w w:val="91"/>
              </w:rPr>
              <w:t>Stephen J. Venuto, Esq.</w:t>
            </w:r>
          </w:p>
        </w:tc>
        <w:tc>
          <w:tcPr>
            <w:tcW w:w="3240" w:type="dxa"/>
            <w:vAlign w:val="bottom"/>
          </w:tcPr>
          <w:p>
            <w:pPr>
              <w:jc w:val="center"/>
              <w:ind w:left="588"/>
              <w:spacing w:after="0" w:line="151" w:lineRule="exact"/>
              <w:rPr>
                <w:sz w:val="20"/>
                <w:szCs w:val="20"/>
                <w:color w:val="auto"/>
              </w:rPr>
            </w:pPr>
            <w:r>
              <w:rPr>
                <w:rFonts w:ascii="Arial" w:cs="Arial" w:eastAsia="Arial" w:hAnsi="Arial"/>
                <w:sz w:val="14"/>
                <w:szCs w:val="14"/>
                <w:b w:val="1"/>
                <w:bCs w:val="1"/>
                <w:color w:val="auto"/>
                <w:w w:val="92"/>
              </w:rPr>
              <w:t>Eleanor Lacey, Esq.,</w:t>
            </w:r>
          </w:p>
        </w:tc>
      </w:tr>
      <w:tr>
        <w:trPr>
          <w:trHeight w:val="148"/>
        </w:trPr>
        <w:tc>
          <w:tcPr>
            <w:tcW w:w="234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3"/>
              </w:rPr>
              <w:t>Jon C. Avina, Esq.</w:t>
            </w:r>
          </w:p>
        </w:tc>
        <w:tc>
          <w:tcPr>
            <w:tcW w:w="390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4"/>
              </w:rPr>
              <w:t>William L. Hughes, Esq.</w:t>
            </w:r>
          </w:p>
        </w:tc>
        <w:tc>
          <w:tcPr>
            <w:tcW w:w="324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93"/>
              </w:rPr>
              <w:t>General Counsel and Corporate Secretary</w:t>
            </w:r>
          </w:p>
        </w:tc>
      </w:tr>
      <w:tr>
        <w:trPr>
          <w:trHeight w:val="148"/>
        </w:trPr>
        <w:tc>
          <w:tcPr>
            <w:tcW w:w="234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0"/>
              </w:rPr>
              <w:t>Calise Y. Cheng, Esq.</w:t>
            </w:r>
          </w:p>
        </w:tc>
        <w:tc>
          <w:tcPr>
            <w:tcW w:w="39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5"/>
              </w:rPr>
              <w:t>Niki Fang, Esq.</w:t>
            </w:r>
          </w:p>
        </w:tc>
        <w:tc>
          <w:tcPr>
            <w:tcW w:w="3240" w:type="dxa"/>
            <w:vAlign w:val="bottom"/>
          </w:tcPr>
          <w:p>
            <w:pPr>
              <w:jc w:val="center"/>
              <w:ind w:left="588"/>
              <w:spacing w:after="0" w:line="149" w:lineRule="exact"/>
              <w:rPr>
                <w:sz w:val="20"/>
                <w:szCs w:val="20"/>
                <w:color w:val="auto"/>
              </w:rPr>
            </w:pPr>
            <w:r>
              <w:rPr>
                <w:rFonts w:ascii="Arial" w:cs="Arial" w:eastAsia="Arial" w:hAnsi="Arial"/>
                <w:sz w:val="14"/>
                <w:szCs w:val="14"/>
                <w:b w:val="1"/>
                <w:bCs w:val="1"/>
                <w:color w:val="auto"/>
                <w:w w:val="94"/>
              </w:rPr>
              <w:t>Asana, Inc.</w:t>
            </w:r>
          </w:p>
        </w:tc>
      </w:tr>
      <w:tr>
        <w:trPr>
          <w:trHeight w:val="149"/>
        </w:trPr>
        <w:tc>
          <w:tcPr>
            <w:tcW w:w="234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6"/>
              </w:rPr>
              <w:t>Cooley LLP</w:t>
            </w:r>
          </w:p>
        </w:tc>
        <w:tc>
          <w:tcPr>
            <w:tcW w:w="390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9"/>
              </w:rPr>
              <w:t>Orrick, Herrington &amp; Sutcliffe LLP</w:t>
            </w:r>
          </w:p>
        </w:tc>
        <w:tc>
          <w:tcPr>
            <w:tcW w:w="3240" w:type="dxa"/>
            <w:vAlign w:val="bottom"/>
          </w:tcPr>
          <w:p>
            <w:pPr>
              <w:jc w:val="center"/>
              <w:ind w:left="568"/>
              <w:spacing w:after="0" w:line="149" w:lineRule="exact"/>
              <w:rPr>
                <w:sz w:val="20"/>
                <w:szCs w:val="20"/>
                <w:color w:val="auto"/>
              </w:rPr>
            </w:pPr>
            <w:r>
              <w:rPr>
                <w:rFonts w:ascii="Arial" w:cs="Arial" w:eastAsia="Arial" w:hAnsi="Arial"/>
                <w:sz w:val="14"/>
                <w:szCs w:val="14"/>
                <w:b w:val="1"/>
                <w:bCs w:val="1"/>
                <w:color w:val="auto"/>
                <w:w w:val="93"/>
              </w:rPr>
              <w:t>1550 Bryant Street, Suite 200</w:t>
            </w:r>
          </w:p>
        </w:tc>
      </w:tr>
      <w:tr>
        <w:trPr>
          <w:trHeight w:val="148"/>
        </w:trPr>
        <w:tc>
          <w:tcPr>
            <w:tcW w:w="234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3"/>
              </w:rPr>
              <w:t>3175 Hanover Street</w:t>
            </w:r>
          </w:p>
        </w:tc>
        <w:tc>
          <w:tcPr>
            <w:tcW w:w="390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5"/>
              </w:rPr>
              <w:t>1000 Marsh Road</w:t>
            </w:r>
          </w:p>
        </w:tc>
        <w:tc>
          <w:tcPr>
            <w:tcW w:w="3240" w:type="dxa"/>
            <w:vAlign w:val="bottom"/>
          </w:tcPr>
          <w:p>
            <w:pPr>
              <w:jc w:val="center"/>
              <w:ind w:left="588"/>
              <w:spacing w:after="0" w:line="149" w:lineRule="exact"/>
              <w:rPr>
                <w:sz w:val="20"/>
                <w:szCs w:val="20"/>
                <w:color w:val="auto"/>
              </w:rPr>
            </w:pPr>
            <w:r>
              <w:rPr>
                <w:rFonts w:ascii="Arial" w:cs="Arial" w:eastAsia="Arial" w:hAnsi="Arial"/>
                <w:sz w:val="14"/>
                <w:szCs w:val="14"/>
                <w:b w:val="1"/>
                <w:bCs w:val="1"/>
                <w:color w:val="auto"/>
                <w:w w:val="92"/>
              </w:rPr>
              <w:t>San Francisco, CA 94103</w:t>
            </w:r>
          </w:p>
        </w:tc>
      </w:tr>
      <w:tr>
        <w:trPr>
          <w:trHeight w:val="148"/>
        </w:trPr>
        <w:tc>
          <w:tcPr>
            <w:tcW w:w="234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4"/>
              </w:rPr>
              <w:t>Palo Alto, CA 94304</w:t>
            </w:r>
          </w:p>
        </w:tc>
        <w:tc>
          <w:tcPr>
            <w:tcW w:w="39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6"/>
              </w:rPr>
              <w:t>Menlo Park, CA 94025</w:t>
            </w:r>
          </w:p>
        </w:tc>
        <w:tc>
          <w:tcPr>
            <w:tcW w:w="3240" w:type="dxa"/>
            <w:vAlign w:val="bottom"/>
          </w:tcPr>
          <w:p>
            <w:pPr>
              <w:jc w:val="center"/>
              <w:ind w:left="588"/>
              <w:spacing w:after="0" w:line="149" w:lineRule="exact"/>
              <w:rPr>
                <w:sz w:val="20"/>
                <w:szCs w:val="20"/>
                <w:color w:val="auto"/>
              </w:rPr>
            </w:pPr>
            <w:r>
              <w:rPr>
                <w:rFonts w:ascii="Arial" w:cs="Arial" w:eastAsia="Arial" w:hAnsi="Arial"/>
                <w:sz w:val="14"/>
                <w:szCs w:val="14"/>
                <w:b w:val="1"/>
                <w:bCs w:val="1"/>
                <w:color w:val="auto"/>
                <w:w w:val="93"/>
              </w:rPr>
              <w:t>(415) 525-3888</w:t>
            </w:r>
          </w:p>
        </w:tc>
      </w:tr>
      <w:tr>
        <w:trPr>
          <w:trHeight w:val="186"/>
        </w:trPr>
        <w:tc>
          <w:tcPr>
            <w:tcW w:w="2340" w:type="dxa"/>
            <w:vAlign w:val="bottom"/>
          </w:tcPr>
          <w:p>
            <w:pPr>
              <w:jc w:val="center"/>
              <w:ind w:right="968"/>
              <w:spacing w:after="0"/>
              <w:rPr>
                <w:sz w:val="20"/>
                <w:szCs w:val="20"/>
                <w:color w:val="auto"/>
              </w:rPr>
            </w:pPr>
            <w:r>
              <w:rPr>
                <w:rFonts w:ascii="Arial" w:cs="Arial" w:eastAsia="Arial" w:hAnsi="Arial"/>
                <w:sz w:val="14"/>
                <w:szCs w:val="14"/>
                <w:b w:val="1"/>
                <w:bCs w:val="1"/>
                <w:color w:val="auto"/>
                <w:w w:val="93"/>
              </w:rPr>
              <w:t>(650) 843-5000</w:t>
            </w:r>
          </w:p>
        </w:tc>
        <w:tc>
          <w:tcPr>
            <w:tcW w:w="3900" w:type="dxa"/>
            <w:vAlign w:val="bottom"/>
          </w:tcPr>
          <w:p>
            <w:pPr>
              <w:jc w:val="center"/>
              <w:ind w:left="328"/>
              <w:spacing w:after="0"/>
              <w:rPr>
                <w:sz w:val="20"/>
                <w:szCs w:val="20"/>
                <w:color w:val="auto"/>
              </w:rPr>
            </w:pPr>
            <w:r>
              <w:rPr>
                <w:rFonts w:ascii="Arial" w:cs="Arial" w:eastAsia="Arial" w:hAnsi="Arial"/>
                <w:sz w:val="14"/>
                <w:szCs w:val="14"/>
                <w:b w:val="1"/>
                <w:bCs w:val="1"/>
                <w:color w:val="auto"/>
                <w:w w:val="93"/>
              </w:rPr>
              <w:t>(650) 614-7400</w:t>
            </w:r>
          </w:p>
        </w:tc>
        <w:tc>
          <w:tcPr>
            <w:tcW w:w="32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101600</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58" w:lineRule="exact"/>
        <w:rPr>
          <w:sz w:val="24"/>
          <w:szCs w:val="24"/>
          <w:color w:val="auto"/>
        </w:rPr>
      </w:pPr>
    </w:p>
    <w:p>
      <w:pPr>
        <w:ind w:left="4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25" w:lineRule="exact"/>
        <w:rPr>
          <w:sz w:val="24"/>
          <w:szCs w:val="24"/>
          <w:color w:val="auto"/>
        </w:rPr>
      </w:pPr>
    </w:p>
    <w:p>
      <w:pPr>
        <w:ind w:left="4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3" w:lineRule="exact"/>
        <w:rPr>
          <w:sz w:val="24"/>
          <w:szCs w:val="24"/>
          <w:color w:val="auto"/>
        </w:rPr>
      </w:pPr>
    </w:p>
    <w:p>
      <w:pPr>
        <w:jc w:val="both"/>
        <w:ind w:right="480" w:firstLine="449"/>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20" w:firstLine="449"/>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100" w:firstLine="44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320" w:firstLine="449"/>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60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60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3"/>
        </w:trPr>
        <w:tc>
          <w:tcPr>
            <w:tcW w:w="15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380" w:type="dxa"/>
            <w:vAlign w:val="bottom"/>
          </w:tcPr>
          <w:p>
            <w:pPr>
              <w:ind w:left="3600"/>
              <w:spacing w:after="0"/>
              <w:rPr>
                <w:sz w:val="20"/>
                <w:szCs w:val="20"/>
                <w:color w:val="auto"/>
              </w:rPr>
            </w:pPr>
            <w:r>
              <w:rPr>
                <w:rFonts w:ascii="Arial" w:cs="Arial" w:eastAsia="Arial" w:hAnsi="Arial"/>
                <w:sz w:val="14"/>
                <w:szCs w:val="14"/>
                <w:color w:val="auto"/>
              </w:rPr>
              <w:t>Emerging growth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bl>
    <w:p>
      <w:pPr>
        <w:ind w:right="160" w:firstLine="449"/>
        <w:spacing w:after="0" w:line="174" w:lineRule="exact"/>
        <w:rPr>
          <w:sz w:val="20"/>
          <w:szCs w:val="20"/>
          <w:color w:val="auto"/>
        </w:rPr>
      </w:pPr>
      <w:r>
        <w:rPr>
          <w:rFonts w:ascii="Arial" w:cs="Arial" w:eastAsia="Arial" w:hAnsi="Arial"/>
          <w:sz w:val="14"/>
          <w:szCs w:val="14"/>
          <w:color w:val="auto"/>
        </w:rPr>
        <w:t xml:space="preserve">If an emerging growth company, indicate by checkmark if the registrant has not elected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92075</wp:posOffset>
            </wp:positionV>
            <wp:extent cx="1491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5420" w:type="dxa"/>
            <w:vAlign w:val="bottom"/>
            <w:tcBorders>
              <w:top w:val="single" w:sz="8" w:color="auto"/>
              <w:bottom w:val="single" w:sz="8" w:color="auto"/>
            </w:tcBorders>
          </w:tcPr>
          <w:p>
            <w:pPr>
              <w:spacing w:after="0"/>
              <w:rPr>
                <w:sz w:val="3"/>
                <w:szCs w:val="3"/>
                <w:color w:val="auto"/>
              </w:rPr>
            </w:pPr>
          </w:p>
        </w:tc>
        <w:tc>
          <w:tcPr>
            <w:tcW w:w="112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54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jc w:val="center"/>
              <w:ind w:left="11"/>
              <w:spacing w:after="0" w:line="106" w:lineRule="exact"/>
              <w:rPr>
                <w:sz w:val="20"/>
                <w:szCs w:val="20"/>
                <w:color w:val="auto"/>
              </w:rPr>
            </w:pPr>
            <w:r>
              <w:rPr>
                <w:rFonts w:ascii="Arial" w:cs="Arial" w:eastAsia="Arial" w:hAnsi="Arial"/>
                <w:sz w:val="12"/>
                <w:szCs w:val="12"/>
                <w:b w:val="1"/>
                <w:bCs w:val="1"/>
                <w:color w:val="auto"/>
              </w:rPr>
              <w:t>Proposed Maximum</w:t>
            </w:r>
          </w:p>
        </w:tc>
        <w:tc>
          <w:tcPr>
            <w:tcW w:w="1680" w:type="dxa"/>
            <w:vAlign w:val="bottom"/>
            <w:tcBorders>
              <w:right w:val="single" w:sz="8" w:color="auto"/>
            </w:tcBorders>
          </w:tcPr>
          <w:p>
            <w:pPr>
              <w:jc w:val="center"/>
              <w:ind w:left="31"/>
              <w:spacing w:after="0" w:line="106" w:lineRule="exact"/>
              <w:rPr>
                <w:sz w:val="20"/>
                <w:szCs w:val="20"/>
                <w:color w:val="auto"/>
              </w:rPr>
            </w:pPr>
            <w:r>
              <w:rPr>
                <w:rFonts w:ascii="Arial" w:cs="Arial" w:eastAsia="Arial" w:hAnsi="Arial"/>
                <w:sz w:val="12"/>
                <w:szCs w:val="12"/>
                <w:b w:val="1"/>
                <w:bCs w:val="1"/>
                <w:color w:val="auto"/>
              </w:rPr>
              <w:t>Proposed Maximum</w:t>
            </w: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420" w:type="dxa"/>
            <w:vAlign w:val="bottom"/>
            <w:tcBorders>
              <w:right w:val="single" w:sz="8" w:color="auto"/>
            </w:tcBorders>
            <w:vMerge w:val="restart"/>
          </w:tcPr>
          <w:p>
            <w:pPr>
              <w:ind w:left="1620"/>
              <w:spacing w:after="0"/>
              <w:rPr>
                <w:sz w:val="20"/>
                <w:szCs w:val="20"/>
                <w:color w:val="auto"/>
              </w:rPr>
            </w:pPr>
            <w:r>
              <w:rPr>
                <w:rFonts w:ascii="Arial" w:cs="Arial" w:eastAsia="Arial" w:hAnsi="Arial"/>
                <w:sz w:val="14"/>
                <w:szCs w:val="14"/>
                <w:b w:val="1"/>
                <w:bCs w:val="1"/>
                <w:color w:val="auto"/>
              </w:rPr>
              <w:t>Title of Securities To Be Registered</w:t>
            </w:r>
          </w:p>
        </w:tc>
        <w:tc>
          <w:tcPr>
            <w:tcW w:w="1120" w:type="dxa"/>
            <w:vAlign w:val="bottom"/>
            <w:tcBorders>
              <w:right w:val="single" w:sz="8" w:color="auto"/>
            </w:tcBorders>
          </w:tcPr>
          <w:p>
            <w:pPr>
              <w:jc w:val="center"/>
              <w:ind w:left="8"/>
              <w:spacing w:after="0" w:line="158" w:lineRule="exact"/>
              <w:rPr>
                <w:sz w:val="20"/>
                <w:szCs w:val="20"/>
                <w:color w:val="auto"/>
              </w:rPr>
            </w:pPr>
            <w:r>
              <w:rPr>
                <w:rFonts w:ascii="Arial" w:cs="Arial" w:eastAsia="Arial" w:hAnsi="Arial"/>
                <w:sz w:val="14"/>
                <w:szCs w:val="14"/>
                <w:b w:val="1"/>
                <w:bCs w:val="1"/>
                <w:color w:val="auto"/>
                <w:w w:val="93"/>
              </w:rPr>
              <w:t>Amount to be</w:t>
            </w:r>
          </w:p>
        </w:tc>
        <w:tc>
          <w:tcPr>
            <w:tcW w:w="1680" w:type="dxa"/>
            <w:vAlign w:val="bottom"/>
            <w:tcBorders>
              <w:right w:val="single" w:sz="8" w:color="auto"/>
            </w:tcBorders>
          </w:tcPr>
          <w:p>
            <w:pPr>
              <w:jc w:val="center"/>
              <w:ind w:left="11"/>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680" w:type="dxa"/>
            <w:vAlign w:val="bottom"/>
            <w:tcBorders>
              <w:right w:val="single" w:sz="8" w:color="auto"/>
            </w:tcBorders>
          </w:tcPr>
          <w:p>
            <w:pPr>
              <w:jc w:val="center"/>
              <w:ind w:left="31"/>
              <w:spacing w:after="0" w:line="158" w:lineRule="exact"/>
              <w:rPr>
                <w:sz w:val="20"/>
                <w:szCs w:val="20"/>
                <w:color w:val="auto"/>
              </w:rPr>
            </w:pPr>
            <w:r>
              <w:rPr>
                <w:rFonts w:ascii="Arial" w:cs="Arial" w:eastAsia="Arial" w:hAnsi="Arial"/>
                <w:sz w:val="14"/>
                <w:szCs w:val="14"/>
                <w:b w:val="1"/>
                <w:bCs w:val="1"/>
                <w:color w:val="auto"/>
                <w:w w:val="89"/>
              </w:rPr>
              <w:t>Aggregate</w:t>
            </w:r>
          </w:p>
        </w:tc>
        <w:tc>
          <w:tcPr>
            <w:tcW w:w="1340" w:type="dxa"/>
            <w:vAlign w:val="bottom"/>
          </w:tcPr>
          <w:p>
            <w:pPr>
              <w:jc w:val="center"/>
              <w:ind w:left="48"/>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5"/>
        </w:trPr>
        <w:tc>
          <w:tcPr>
            <w:tcW w:w="54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8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1"/>
              </w:rPr>
              <w:t>Per Share</w:t>
            </w:r>
          </w:p>
        </w:tc>
        <w:tc>
          <w:tcPr>
            <w:tcW w:w="1680" w:type="dxa"/>
            <w:vAlign w:val="bottom"/>
            <w:tcBorders>
              <w:bottom w:val="single" w:sz="8" w:color="auto"/>
              <w:right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(1)</w:t>
            </w:r>
          </w:p>
        </w:tc>
        <w:tc>
          <w:tcPr>
            <w:tcW w:w="13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42"/>
        </w:trPr>
        <w:tc>
          <w:tcPr>
            <w:tcW w:w="542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 par value $0.00001 per share</w:t>
            </w:r>
          </w:p>
        </w:tc>
        <w:tc>
          <w:tcPr>
            <w:tcW w:w="112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jc w:val="center"/>
              <w:ind w:left="11"/>
              <w:spacing w:after="0" w:line="142" w:lineRule="exact"/>
              <w:rPr>
                <w:sz w:val="20"/>
                <w:szCs w:val="20"/>
                <w:color w:val="auto"/>
              </w:rPr>
            </w:pPr>
            <w:r>
              <w:rPr>
                <w:rFonts w:ascii="Arial" w:cs="Arial" w:eastAsia="Arial" w:hAnsi="Arial"/>
                <w:sz w:val="14"/>
                <w:szCs w:val="14"/>
                <w:color w:val="auto"/>
                <w:w w:val="94"/>
              </w:rPr>
              <w:t>Not applicable</w:t>
            </w:r>
          </w:p>
        </w:tc>
        <w:tc>
          <w:tcPr>
            <w:tcW w:w="168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160" w:hanging="452"/>
        <w:spacing w:after="0" w:line="253"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purposes of calculating the registration fee pursuant to Rule 457(a) of the Securities Act of 1933, as amended. Given that there is no proposed maximum offering price per share of Class A common stock, the registrant calculates the proposed maximum aggregate offering price, by analogy to Rule 457(f)(2), based on the book value of the Class A common stock the registrant registers, which will be calculated from its unaudited pro forma balance sheet as of January 31, 2020. Given that the registrant’s shares of Class A common stock are not traded on an exchange or over-the-counter, the registrant did not use the market prices of its Class A common stock in accordance with Rule 457(c).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88265</wp:posOffset>
            </wp:positionV>
            <wp:extent cx="149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37" w:lineRule="exact"/>
        <w:rPr>
          <w:sz w:val="24"/>
          <w:szCs w:val="24"/>
          <w:color w:val="auto"/>
        </w:rPr>
      </w:pPr>
    </w:p>
    <w:p>
      <w:pPr>
        <w:jc w:val="both"/>
        <w:ind w:firstLine="449"/>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00"/>
        <w:spacing w:after="0" w:line="243" w:lineRule="auto"/>
        <w:rPr>
          <w:sz w:val="20"/>
          <w:szCs w:val="20"/>
          <w:color w:val="auto"/>
        </w:rPr>
      </w:pPr>
      <w:r>
        <w:rPr>
          <w:rFonts w:ascii="Arial" w:cs="Arial" w:eastAsia="Arial" w:hAnsi="Arial"/>
          <w:sz w:val="15"/>
          <w:szCs w:val="15"/>
          <w:b w:val="1"/>
          <w:bCs w:val="1"/>
          <w:color w:val="DE1A1E"/>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DE1A1E"/>
        </w:rPr>
        <w:t>PROSPECTUS (Subject to Completion)</w:t>
      </w:r>
    </w:p>
    <w:p>
      <w:pPr>
        <w:spacing w:after="0" w:line="2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i w:val="1"/>
          <w:iCs w:val="1"/>
          <w:color w:val="DE1A1E"/>
        </w:rPr>
        <w:t>Issued</w:t>
      </w:r>
      <w:r>
        <w:rPr>
          <w:sz w:val="20"/>
          <w:szCs w:val="20"/>
          <w:color w:val="auto"/>
        </w:rPr>
        <w:tab/>
      </w:r>
      <w:r>
        <w:rPr>
          <w:rFonts w:ascii="Arial" w:cs="Arial" w:eastAsia="Arial" w:hAnsi="Arial"/>
          <w:sz w:val="18"/>
          <w:szCs w:val="18"/>
          <w:i w:val="1"/>
          <w:iCs w:val="1"/>
          <w:color w:val="DE1A1E"/>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57150</wp:posOffset>
            </wp:positionV>
            <wp:extent cx="275145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145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60"/>
        <w:spacing w:after="0"/>
        <w:rPr>
          <w:sz w:val="20"/>
          <w:szCs w:val="20"/>
          <w:color w:val="auto"/>
        </w:rPr>
      </w:pPr>
      <w:r>
        <w:rPr>
          <w:rFonts w:ascii="Arial" w:cs="Arial" w:eastAsia="Arial" w:hAnsi="Arial"/>
          <w:sz w:val="22"/>
          <w:szCs w:val="22"/>
          <w:i w:val="1"/>
          <w:iCs w:val="1"/>
          <w:color w:val="auto"/>
        </w:rPr>
        <w:t>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161290</wp:posOffset>
            </wp:positionV>
            <wp:extent cx="1491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42" w:lineRule="exact"/>
        <w:rPr>
          <w:sz w:val="20"/>
          <w:szCs w:val="20"/>
          <w:color w:val="auto"/>
        </w:rPr>
      </w:pPr>
    </w:p>
    <w:p>
      <w:pPr>
        <w:ind w:right="60"/>
        <w:spacing w:after="0" w:line="307" w:lineRule="auto"/>
        <w:rPr>
          <w:sz w:val="20"/>
          <w:szCs w:val="20"/>
          <w:color w:val="auto"/>
        </w:rPr>
      </w:pPr>
      <w:r>
        <w:rPr>
          <w:rFonts w:ascii="Arial" w:cs="Arial" w:eastAsia="Arial" w:hAnsi="Arial"/>
          <w:sz w:val="15"/>
          <w:szCs w:val="15"/>
          <w:b w:val="1"/>
          <w:bCs w:val="1"/>
          <w:i w:val="1"/>
          <w:iCs w:val="1"/>
          <w:color w:val="auto"/>
        </w:rPr>
        <w:t>This prospectus relates to the registration of the resale of up to shares of our Class A common stock by our stockholders identified in this prospectus, or the Registered Stockholders. Unlike an initial public offering, the resale by the Registered Stockholders is not being underwritten by any investment bank. The Registered Stockholders may, or may not, elect to sell their shares of Class A common stock covered by this prospectus, as and to</w:t>
      </w:r>
    </w:p>
    <w:p>
      <w:pPr>
        <w:ind w:right="700"/>
        <w:spacing w:after="0" w:line="323" w:lineRule="auto"/>
        <w:rPr>
          <w:sz w:val="20"/>
          <w:szCs w:val="20"/>
          <w:color w:val="auto"/>
        </w:rPr>
      </w:pPr>
      <w:r>
        <w:rPr>
          <w:rFonts w:ascii="Arial" w:cs="Arial" w:eastAsia="Arial" w:hAnsi="Arial"/>
          <w:sz w:val="16"/>
          <w:szCs w:val="16"/>
          <w:b w:val="1"/>
          <w:bCs w:val="1"/>
          <w:i w:val="1"/>
          <w:iCs w:val="1"/>
          <w:color w:val="auto"/>
        </w:rPr>
        <w:t>the extent they may determine. Such sales, if any, will be made through brokerage transactions on the . See the section titled “Plan of Distribution.” We will not receive any proceeds from the sale of shares of Class A common stock by the Registered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105410</wp:posOffset>
            </wp:positionV>
            <wp:extent cx="14916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53"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b w:val="1"/>
          <w:bCs w:val="1"/>
          <w:i w:val="1"/>
          <w:iCs w:val="1"/>
          <w:color w:val="auto"/>
        </w:rPr>
        <w:t>We have two classes of common stock, Class A common stock and Class B common stock. The rights of holders of Class A common stock and Class B common stock are identical, except with respect to voting and conversion rights. Each share of Class A common stock is entitled to one vote. Each</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980" w:type="dxa"/>
            <w:vAlign w:val="bottom"/>
          </w:tcPr>
          <w:p>
            <w:pPr>
              <w:spacing w:after="0"/>
              <w:rPr>
                <w:sz w:val="20"/>
                <w:szCs w:val="20"/>
                <w:color w:val="auto"/>
              </w:rPr>
            </w:pPr>
            <w:r>
              <w:rPr>
                <w:rFonts w:ascii="Arial" w:cs="Arial" w:eastAsia="Arial" w:hAnsi="Arial"/>
                <w:sz w:val="18"/>
                <w:szCs w:val="18"/>
                <w:b w:val="1"/>
                <w:bCs w:val="1"/>
                <w:i w:val="1"/>
                <w:iCs w:val="1"/>
                <w:color w:val="auto"/>
                <w:w w:val="88"/>
              </w:rPr>
              <w:t>share of Class B common stock is entitled to 10 votes and is convertible at any time into one share of Class A common stock. As of</w:t>
            </w:r>
          </w:p>
        </w:tc>
        <w:tc>
          <w:tcPr>
            <w:tcW w:w="1040" w:type="dxa"/>
            <w:vAlign w:val="bottom"/>
          </w:tcPr>
          <w:p>
            <w:pPr>
              <w:ind w:left="360"/>
              <w:spacing w:after="0"/>
              <w:rPr>
                <w:sz w:val="20"/>
                <w:szCs w:val="20"/>
                <w:color w:val="auto"/>
              </w:rPr>
            </w:pPr>
            <w:r>
              <w:rPr>
                <w:rFonts w:ascii="Arial" w:cs="Arial" w:eastAsia="Arial" w:hAnsi="Arial"/>
                <w:sz w:val="18"/>
                <w:szCs w:val="18"/>
                <w:b w:val="1"/>
                <w:bCs w:val="1"/>
                <w:i w:val="1"/>
                <w:iCs w:val="1"/>
                <w:color w:val="auto"/>
                <w:w w:val="85"/>
              </w:rPr>
              <w:t>2020, the</w:t>
            </w:r>
          </w:p>
        </w:tc>
      </w:tr>
    </w:tbl>
    <w:p>
      <w:pPr>
        <w:ind w:right="140"/>
        <w:spacing w:after="0" w:line="258" w:lineRule="auto"/>
        <w:rPr>
          <w:sz w:val="20"/>
          <w:szCs w:val="20"/>
          <w:color w:val="auto"/>
        </w:rPr>
      </w:pPr>
      <w:r>
        <w:rPr>
          <w:rFonts w:ascii="Arial" w:cs="Arial" w:eastAsia="Arial" w:hAnsi="Arial"/>
          <w:sz w:val="18"/>
          <w:szCs w:val="18"/>
          <w:b w:val="1"/>
          <w:bCs w:val="1"/>
          <w:i w:val="1"/>
          <w:iCs w:val="1"/>
          <w:color w:val="auto"/>
        </w:rPr>
        <w:t>holders of our outstanding Class B common stock held approximately % of the voting power of our outstanding capital stock, with our directors and executive officers and their affiliates holding approximately %.</w:t>
      </w:r>
    </w:p>
    <w:p>
      <w:pPr>
        <w:spacing w:after="0" w:line="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Prior to any sales of shares of Class A common stock, Registered Stockholders who hold Class B common stock must convert their shares of Class B common stock into shares Class A common stock.</w:t>
      </w:r>
    </w:p>
    <w:p>
      <w:pPr>
        <w:spacing w:after="0" w:line="62"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b w:val="1"/>
          <w:bCs w:val="1"/>
          <w:i w:val="1"/>
          <w:iCs w:val="1"/>
          <w:color w:val="auto"/>
        </w:rPr>
        <w:t>No public market for our Class A common stock currently exists, and there is only a limited history of trading in our capital stock in private transactions. Based on information available to us, the low and high sales price per share of our capital stock for such private transactions during the</w:t>
      </w:r>
    </w:p>
    <w:p>
      <w:pPr>
        <w:spacing w:after="0" w:line="1"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b w:val="1"/>
          <w:bCs w:val="1"/>
          <w:i w:val="1"/>
          <w:iCs w:val="1"/>
          <w:color w:val="auto"/>
        </w:rPr>
        <w:t>period from February 1, 2020 through , 2020 was $ and $ , respectively. For more information, see the section titled “Sale Price History of our Capital Stock.” Any recent trading prices in private transactions may have little or no relation to the opening trading price of our</w:t>
      </w:r>
    </w:p>
    <w:p>
      <w:pPr>
        <w:ind w:right="100"/>
        <w:spacing w:after="0" w:line="281" w:lineRule="auto"/>
        <w:rPr>
          <w:sz w:val="20"/>
          <w:szCs w:val="20"/>
          <w:color w:val="auto"/>
        </w:rPr>
      </w:pPr>
      <w:r>
        <w:rPr>
          <w:rFonts w:ascii="Arial" w:cs="Arial" w:eastAsia="Arial" w:hAnsi="Arial"/>
          <w:sz w:val="16"/>
          <w:szCs w:val="16"/>
          <w:b w:val="1"/>
          <w:bCs w:val="1"/>
          <w:i w:val="1"/>
          <w:iCs w:val="1"/>
          <w:color w:val="auto"/>
        </w:rPr>
        <w:t>shares of Class A common stock on the or the subsequent trading price of our shares of Class A common stock on the . Further, the listing of our Class A common stock on the without underwriters is a novel method for commencing public trading in shares of our Class A</w:t>
      </w:r>
    </w:p>
    <w:p>
      <w:pPr>
        <w:spacing w:after="0" w:line="1"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b w:val="1"/>
          <w:bCs w:val="1"/>
          <w:i w:val="1"/>
          <w:iCs w:val="1"/>
          <w:color w:val="auto"/>
        </w:rPr>
        <w:t>common stock, and consequently, the trading volume and price of shares of our Class A common stock may be more volatile than if shares of our Class A common stock were initially listed in connection with an underwritten initial public offering.</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Based on information provided by the , the opening trading price of our Class A common stock on the will be determined by buy and sell orders collected by the from broker-dealers. Based on such orders, will determine an opening price for our Class A common stock in consultation with a financial advisor pursuant to applicable rules. For more information, see the section titled “Plan of Distribution.”</w:t>
      </w:r>
    </w:p>
    <w:p>
      <w:pPr>
        <w:sectPr>
          <w:pgSz w:w="11900" w:h="16838" w:orient="portrait"/>
          <w:cols w:equalWidth="0" w:num="1">
            <w:col w:w="11240"/>
          </w:cols>
          <w:pgMar w:left="320" w:top="459" w:right="339" w:bottom="1440" w:gutter="0" w:footer="0" w:header="0"/>
        </w:sectPr>
      </w:pP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intend to apply to list our Class A common stock on the</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under the symbol “</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We expect our Class A common stock to begin</w:t>
      </w:r>
    </w:p>
    <w:p>
      <w:pPr>
        <w:spacing w:after="0" w:line="58" w:lineRule="exact"/>
        <w:rPr>
          <w:sz w:val="20"/>
          <w:szCs w:val="20"/>
          <w:color w:val="auto"/>
        </w:rPr>
      </w:pPr>
    </w:p>
    <w:p>
      <w:pPr>
        <w:sectPr>
          <w:pgSz w:w="11900" w:h="16838" w:orient="portrait"/>
          <w:cols w:equalWidth="0" w:num="3">
            <w:col w:w="4360" w:space="720"/>
            <w:col w:w="1420" w:space="720"/>
            <w:col w:w="4020"/>
          </w:cols>
          <w:pgMar w:left="320" w:top="459" w:right="339" w:bottom="1440" w:gutter="0" w:footer="0" w:header="0"/>
          <w:type w:val="continuous"/>
        </w:sectPr>
      </w:pPr>
    </w:p>
    <w:p>
      <w:pPr>
        <w:spacing w:after="0"/>
        <w:tabs>
          <w:tab w:leader="none" w:pos="1800" w:val="left"/>
          <w:tab w:leader="none" w:pos="3380" w:val="left"/>
        </w:tabs>
        <w:rPr>
          <w:sz w:val="20"/>
          <w:szCs w:val="20"/>
          <w:color w:val="auto"/>
        </w:rPr>
      </w:pPr>
      <w:r>
        <w:rPr>
          <w:rFonts w:ascii="Arial" w:cs="Arial" w:eastAsia="Arial" w:hAnsi="Arial"/>
          <w:sz w:val="18"/>
          <w:szCs w:val="18"/>
          <w:b w:val="1"/>
          <w:bCs w:val="1"/>
          <w:i w:val="1"/>
          <w:iCs w:val="1"/>
          <w:color w:val="auto"/>
        </w:rPr>
        <w:t>trading on the</w:t>
      </w:r>
      <w:r>
        <w:rPr>
          <w:sz w:val="20"/>
          <w:szCs w:val="20"/>
          <w:color w:val="auto"/>
        </w:rPr>
        <w:tab/>
      </w:r>
      <w:r>
        <w:rPr>
          <w:rFonts w:ascii="Arial" w:cs="Arial" w:eastAsia="Arial" w:hAnsi="Arial"/>
          <w:sz w:val="18"/>
          <w:szCs w:val="18"/>
          <w:b w:val="1"/>
          <w:bCs w:val="1"/>
          <w:i w:val="1"/>
          <w:iCs w:val="1"/>
          <w:color w:val="auto"/>
        </w:rPr>
        <w:t>on or about</w:t>
      </w:r>
      <w:r>
        <w:rPr>
          <w:sz w:val="20"/>
          <w:szCs w:val="20"/>
          <w:color w:val="auto"/>
        </w:rPr>
        <w:tab/>
      </w:r>
      <w:r>
        <w:rPr>
          <w:rFonts w:ascii="Arial" w:cs="Arial" w:eastAsia="Arial" w:hAnsi="Arial"/>
          <w:sz w:val="16"/>
          <w:szCs w:val="16"/>
          <w:b w:val="1"/>
          <w:bCs w:val="1"/>
          <w:i w:val="1"/>
          <w:i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151765</wp:posOffset>
            </wp:positionV>
            <wp:extent cx="1491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p>
      <w:pPr>
        <w:spacing w:after="0" w:line="343"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b w:val="1"/>
          <w:bCs w:val="1"/>
          <w:i w:val="1"/>
          <w:iCs w:val="1"/>
          <w:color w:val="auto"/>
        </w:rPr>
        <w:t>We are an “emerging growth company” as defined under the federal securities laws, and as such, we have elected to comply with reduced reporting requirements for this prospectus and may elect to do so in future filings.</w:t>
      </w:r>
    </w:p>
    <w:p>
      <w:pPr>
        <w:spacing w:after="0" w:line="69" w:lineRule="exact"/>
        <w:rPr>
          <w:sz w:val="20"/>
          <w:szCs w:val="20"/>
          <w:color w:val="auto"/>
        </w:rPr>
      </w:pPr>
    </w:p>
    <w:p>
      <w:pPr>
        <w:ind w:right="80"/>
        <w:spacing w:after="0" w:line="260" w:lineRule="auto"/>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See the section titled “</w:t>
      </w:r>
      <w:hyperlink w:anchor="page17">
        <w:r>
          <w:rPr>
            <w:rFonts w:ascii="Arial" w:cs="Arial" w:eastAsia="Arial" w:hAnsi="Arial"/>
            <w:sz w:val="20"/>
            <w:szCs w:val="20"/>
            <w:b w:val="1"/>
            <w:bCs w:val="1"/>
            <w:i w:val="1"/>
            <w:iCs w:val="1"/>
            <w:u w:val="single" w:color="auto"/>
            <w:color w:val="0000EE"/>
          </w:rPr>
          <w:t>Risk Factors</w:t>
        </w:r>
      </w:hyperlink>
      <w:r>
        <w:rPr>
          <w:rFonts w:ascii="Arial" w:cs="Arial" w:eastAsia="Arial" w:hAnsi="Arial"/>
          <w:sz w:val="20"/>
          <w:szCs w:val="20"/>
          <w:b w:val="1"/>
          <w:bCs w:val="1"/>
          <w:i w:val="1"/>
          <w:iCs w:val="1"/>
          <w:color w:val="auto"/>
        </w:rPr>
        <w:t>” beginning on page 14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140335</wp:posOffset>
            </wp:positionV>
            <wp:extent cx="14916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0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 2020</w:t>
      </w:r>
    </w:p>
    <w:p>
      <w:pPr>
        <w:sectPr>
          <w:pgSz w:w="11900" w:h="16838" w:orient="portrait"/>
          <w:cols w:equalWidth="0" w:num="1">
            <w:col w:w="11240"/>
          </w:cols>
          <w:pgMar w:left="320" w:top="459" w:right="3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020" w:type="dxa"/>
            <w:vAlign w:val="bottom"/>
            <w:gridSpan w:val="4"/>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w:t>
              </w:r>
            </w:hyperlink>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Page</w:t>
            </w:r>
          </w:p>
        </w:tc>
        <w:tc>
          <w:tcPr>
            <w:tcW w:w="5300" w:type="dxa"/>
            <w:vAlign w:val="bottom"/>
            <w:gridSpan w:val="5"/>
            <w:vMerge w:val="restart"/>
          </w:tcPr>
          <w:p>
            <w:pPr>
              <w:ind w:left="200"/>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Executive Compensation</w:t>
              </w:r>
            </w:hyperlink>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5020" w:type="dxa"/>
            <w:vAlign w:val="bottom"/>
            <w:gridSpan w:val="4"/>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6"/>
                <w:szCs w:val="16"/>
                <w:color w:val="auto"/>
              </w:rPr>
            </w:pPr>
          </w:p>
        </w:tc>
        <w:tc>
          <w:tcPr>
            <w:tcW w:w="5300" w:type="dxa"/>
            <w:vAlign w:val="bottom"/>
            <w:gridSpan w:val="5"/>
            <w:vMerge w:val="continue"/>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216"/>
        </w:trPr>
        <w:tc>
          <w:tcPr>
            <w:tcW w:w="5020" w:type="dxa"/>
            <w:vAlign w:val="bottom"/>
            <w:gridSpan w:val="4"/>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5300" w:type="dxa"/>
            <w:vAlign w:val="bottom"/>
            <w:gridSpan w:val="5"/>
          </w:tcPr>
          <w:p>
            <w:pPr>
              <w:ind w:left="200"/>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Certain Relationships and Related Party Transactions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111</w:t>
            </w:r>
          </w:p>
        </w:tc>
        <w:tc>
          <w:tcPr>
            <w:tcW w:w="0" w:type="dxa"/>
            <w:vAlign w:val="bottom"/>
          </w:tcPr>
          <w:p>
            <w:pPr>
              <w:spacing w:after="0"/>
              <w:rPr>
                <w:sz w:val="1"/>
                <w:szCs w:val="1"/>
                <w:color w:val="auto"/>
              </w:rPr>
            </w:pPr>
          </w:p>
        </w:tc>
      </w:tr>
      <w:tr>
        <w:trPr>
          <w:trHeight w:val="216"/>
        </w:trPr>
        <w:tc>
          <w:tcPr>
            <w:tcW w:w="5020" w:type="dxa"/>
            <w:vAlign w:val="bottom"/>
            <w:gridSpan w:val="4"/>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 Factors</w:t>
              </w:r>
            </w:hyperlink>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5300" w:type="dxa"/>
            <w:vAlign w:val="bottom"/>
            <w:gridSpan w:val="5"/>
          </w:tcPr>
          <w:p>
            <w:pPr>
              <w:ind w:left="200"/>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Principal and Registered Stockholders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16"/>
        </w:trPr>
        <w:tc>
          <w:tcPr>
            <w:tcW w:w="5020" w:type="dxa"/>
            <w:vAlign w:val="bottom"/>
            <w:gridSpan w:val="4"/>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Special Note Regarding Forward-Looking Statements</w:t>
              </w:r>
            </w:hyperlink>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5300" w:type="dxa"/>
            <w:vAlign w:val="bottom"/>
            <w:gridSpan w:val="5"/>
          </w:tcPr>
          <w:p>
            <w:pPr>
              <w:ind w:left="200"/>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Description of Capital Stock</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216"/>
        </w:trPr>
        <w:tc>
          <w:tcPr>
            <w:tcW w:w="5020" w:type="dxa"/>
            <w:vAlign w:val="bottom"/>
            <w:gridSpan w:val="4"/>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Market, Industry and Other Data</w:t>
              </w:r>
            </w:hyperlink>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5300" w:type="dxa"/>
            <w:vAlign w:val="bottom"/>
            <w:gridSpan w:val="5"/>
          </w:tcPr>
          <w:p>
            <w:pPr>
              <w:ind w:left="20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Shares Eligible For Future Sale</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216"/>
        </w:trPr>
        <w:tc>
          <w:tcPr>
            <w:tcW w:w="5020" w:type="dxa"/>
            <w:vAlign w:val="bottom"/>
            <w:gridSpan w:val="4"/>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Use of Proceeds</w:t>
              </w:r>
            </w:hyperlink>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5300" w:type="dxa"/>
            <w:vAlign w:val="bottom"/>
            <w:gridSpan w:val="5"/>
          </w:tcPr>
          <w:p>
            <w:pPr>
              <w:ind w:left="20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Sale Price History of our Capital Stock</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190"/>
        </w:trPr>
        <w:tc>
          <w:tcPr>
            <w:tcW w:w="5020" w:type="dxa"/>
            <w:vAlign w:val="bottom"/>
            <w:gridSpan w:val="4"/>
          </w:tcPr>
          <w:p>
            <w:pPr>
              <w:spacing w:after="0" w:line="190" w:lineRule="exact"/>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Dividend Policy</w:t>
              </w:r>
            </w:hyperlink>
          </w:p>
        </w:tc>
        <w:tc>
          <w:tcPr>
            <w:tcW w:w="500" w:type="dxa"/>
            <w:vAlign w:val="bottom"/>
            <w:gridSpan w:val="2"/>
          </w:tcPr>
          <w:p>
            <w:pPr>
              <w:jc w:val="right"/>
              <w:ind w:right="200"/>
              <w:spacing w:after="0" w:line="190" w:lineRule="exact"/>
              <w:rPr>
                <w:sz w:val="20"/>
                <w:szCs w:val="20"/>
                <w:color w:val="auto"/>
              </w:rPr>
            </w:pPr>
            <w:r>
              <w:rPr>
                <w:rFonts w:ascii="Arial" w:cs="Arial" w:eastAsia="Arial" w:hAnsi="Arial"/>
                <w:sz w:val="18"/>
                <w:szCs w:val="18"/>
                <w:color w:val="auto"/>
              </w:rPr>
              <w:t>50</w:t>
            </w:r>
          </w:p>
        </w:tc>
        <w:tc>
          <w:tcPr>
            <w:tcW w:w="200" w:type="dxa"/>
            <w:vAlign w:val="bottom"/>
          </w:tcPr>
          <w:p>
            <w:pPr>
              <w:spacing w:after="0"/>
              <w:rPr>
                <w:sz w:val="16"/>
                <w:szCs w:val="16"/>
                <w:color w:val="auto"/>
              </w:rPr>
            </w:pPr>
          </w:p>
        </w:tc>
        <w:tc>
          <w:tcPr>
            <w:tcW w:w="4620" w:type="dxa"/>
            <w:vAlign w:val="bottom"/>
            <w:tcBorders>
              <w:bottom w:val="single" w:sz="8" w:color="0000EE"/>
            </w:tcBorders>
            <w:gridSpan w:val="3"/>
          </w:tcPr>
          <w:p>
            <w:pPr>
              <w:spacing w:after="0" w:line="190" w:lineRule="exact"/>
              <w:rPr>
                <w:rFonts w:ascii="Arial" w:cs="Arial" w:eastAsia="Arial" w:hAnsi="Arial"/>
                <w:sz w:val="18"/>
                <w:szCs w:val="18"/>
                <w:color w:val="0000EE"/>
                <w:w w:val="91"/>
              </w:rPr>
            </w:pPr>
            <w:hyperlink w:anchor="page131">
              <w:r>
                <w:rPr>
                  <w:rFonts w:ascii="Arial" w:cs="Arial" w:eastAsia="Arial" w:hAnsi="Arial"/>
                  <w:sz w:val="18"/>
                  <w:szCs w:val="18"/>
                  <w:color w:val="0000EE"/>
                  <w:w w:val="91"/>
                </w:rPr>
                <w:t>Material U.S. Federal Income Tax Considerations For Non-U.S.</w:t>
              </w:r>
            </w:hyperlink>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20" w:type="dxa"/>
            <w:vAlign w:val="bottom"/>
            <w:gridSpan w:val="4"/>
          </w:tcPr>
          <w:p>
            <w:pPr>
              <w:spacing w:after="0" w:line="196" w:lineRule="exact"/>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Capitalization</w:t>
              </w:r>
            </w:hyperlink>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31">
              <w:r>
                <w:rPr>
                  <w:rFonts w:ascii="Arial" w:cs="Arial" w:eastAsia="Arial" w:hAnsi="Arial"/>
                  <w:sz w:val="18"/>
                  <w:szCs w:val="18"/>
                  <w:color w:val="0000EE"/>
                  <w:w w:val="91"/>
                </w:rPr>
                <w:t>Holders of Common Stock</w:t>
              </w:r>
            </w:hyperlink>
          </w:p>
        </w:tc>
        <w:tc>
          <w:tcPr>
            <w:tcW w:w="298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222"/>
        </w:trPr>
        <w:tc>
          <w:tcPr>
            <w:tcW w:w="5020" w:type="dxa"/>
            <w:vAlign w:val="bottom"/>
            <w:gridSpan w:val="4"/>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Selected Consolidated Financial Data</w:t>
              </w:r>
            </w:hyperlink>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5300" w:type="dxa"/>
            <w:vAlign w:val="bottom"/>
            <w:gridSpan w:val="5"/>
          </w:tcPr>
          <w:p>
            <w:pPr>
              <w:ind w:left="20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Plan of Distribution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190"/>
        </w:trPr>
        <w:tc>
          <w:tcPr>
            <w:tcW w:w="4540" w:type="dxa"/>
            <w:vAlign w:val="bottom"/>
            <w:tcBorders>
              <w:bottom w:val="single" w:sz="8" w:color="0000EE"/>
            </w:tcBorders>
            <w:gridSpan w:val="3"/>
          </w:tcPr>
          <w:p>
            <w:pPr>
              <w:spacing w:after="0" w:line="190"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Management’s Discussion and Analysis of Financial Condition</w:t>
              </w:r>
            </w:hyperlink>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300" w:type="dxa"/>
            <w:vAlign w:val="bottom"/>
            <w:gridSpan w:val="5"/>
          </w:tcPr>
          <w:p>
            <w:pPr>
              <w:ind w:left="200"/>
              <w:spacing w:after="0" w:line="190" w:lineRule="exact"/>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Legal Matters</w:t>
              </w:r>
            </w:hyperlink>
          </w:p>
        </w:tc>
        <w:tc>
          <w:tcPr>
            <w:tcW w:w="340" w:type="dxa"/>
            <w:vAlign w:val="bottom"/>
          </w:tcPr>
          <w:p>
            <w:pPr>
              <w:jc w:val="right"/>
              <w:spacing w:after="0" w:line="190"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and Results of Operations</w:t>
              </w:r>
            </w:hyperlink>
          </w:p>
        </w:tc>
        <w:tc>
          <w:tcPr>
            <w:tcW w:w="2980" w:type="dxa"/>
            <w:vAlign w:val="bottom"/>
            <w:gridSpan w:val="2"/>
          </w:tcPr>
          <w:p>
            <w:pPr>
              <w:spacing w:after="0"/>
              <w:rPr>
                <w:sz w:val="17"/>
                <w:szCs w:val="17"/>
                <w:color w:val="auto"/>
              </w:rPr>
            </w:pP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55</w:t>
            </w:r>
          </w:p>
        </w:tc>
        <w:tc>
          <w:tcPr>
            <w:tcW w:w="5300" w:type="dxa"/>
            <w:vAlign w:val="bottom"/>
            <w:gridSpan w:val="5"/>
          </w:tcPr>
          <w:p>
            <w:pPr>
              <w:ind w:left="200"/>
              <w:spacing w:after="0" w:line="196" w:lineRule="exact"/>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Experts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22"/>
        </w:trPr>
        <w:tc>
          <w:tcPr>
            <w:tcW w:w="5020" w:type="dxa"/>
            <w:vAlign w:val="bottom"/>
            <w:gridSpan w:val="4"/>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Business</w:t>
              </w:r>
            </w:hyperlink>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5300" w:type="dxa"/>
            <w:vAlign w:val="bottom"/>
            <w:gridSpan w:val="5"/>
          </w:tcPr>
          <w:p>
            <w:pPr>
              <w:ind w:left="20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Where You Can Find Additional Information</w:t>
              </w:r>
            </w:hyperlink>
          </w:p>
        </w:tc>
        <w:tc>
          <w:tcPr>
            <w:tcW w:w="340" w:type="dxa"/>
            <w:vAlign w:val="bottom"/>
          </w:tcPr>
          <w:p>
            <w:pPr>
              <w:jc w:val="right"/>
              <w:spacing w:after="0"/>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30"/>
        </w:trPr>
        <w:tc>
          <w:tcPr>
            <w:tcW w:w="5020" w:type="dxa"/>
            <w:vAlign w:val="bottom"/>
            <w:gridSpan w:val="4"/>
          </w:tcPr>
          <w:p>
            <w:pPr>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Management</w:t>
              </w:r>
            </w:hyperlink>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5300" w:type="dxa"/>
            <w:vAlign w:val="bottom"/>
            <w:gridSpan w:val="5"/>
          </w:tcPr>
          <w:p>
            <w:pPr>
              <w:ind w:left="200"/>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Index to Consolidated Financial Statements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317500</wp:posOffset>
            </wp:positionV>
            <wp:extent cx="1491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You should rely only on the information contained in this prospectus or contained in any free writing prospectus filed with the Securities and Exchange Commission, or the SEC. Neither we nor any of the Registered Stockholders have authorized anyone to provide any information or make any representations other than those contained in this prospectus or in any free writing prospectus we have prepared. We take no responsibility for, and can provide no assurance as to the reliability of, any other information that others may give you. The Registered Stockholders are offering to sell, and seeking offers to buy, shares of their Class A common stock only in jurisdictions where offers and sales are permitted. The information contained in this prospectus is accurate only as of the date of this prospectus, regardless of the time of delivery of this prospectus or of any sale of the Class A common stock. Our business, financial condition, results of operations, and prospects may have changed since such date.</w:t>
      </w:r>
    </w:p>
    <w:p>
      <w:pPr>
        <w:spacing w:after="0" w:line="173" w:lineRule="exact"/>
        <w:rPr>
          <w:sz w:val="20"/>
          <w:szCs w:val="20"/>
          <w:color w:val="auto"/>
        </w:rPr>
      </w:pPr>
    </w:p>
    <w:p>
      <w:pPr>
        <w:ind w:right="20" w:firstLine="449"/>
        <w:spacing w:after="0" w:line="282" w:lineRule="auto"/>
        <w:rPr>
          <w:sz w:val="20"/>
          <w:szCs w:val="20"/>
          <w:color w:val="auto"/>
        </w:rPr>
      </w:pPr>
      <w:r>
        <w:rPr>
          <w:rFonts w:ascii="Arial" w:cs="Arial" w:eastAsia="Arial" w:hAnsi="Arial"/>
          <w:sz w:val="18"/>
          <w:szCs w:val="18"/>
          <w:b w:val="1"/>
          <w:bCs w:val="1"/>
          <w:color w:val="auto"/>
        </w:rPr>
        <w:t>Through and including , 2020 (the 25th day after the listing date of our Class A common stock), all dealers effecting transactions in these securities, whether or not participating in this offering, may be required to deliver a prospectus.</w:t>
      </w:r>
    </w:p>
    <w:p>
      <w:pPr>
        <w:spacing w:after="0" w:line="16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For investors outside of the United States, neither we nor any of the Registered Stockholders have done anything that would permit the use of or possession or distribution of this prospectus in any jurisdiction where action for that purpose is required, other than in the United States. You are required to inform yourselves about, and to observe any restrictions relating to, the offering of Class A common stock by the Registered Stockholders and the distribution of this prospectus outside of the United States.</w:t>
      </w:r>
    </w:p>
    <w:p>
      <w:pPr>
        <w:sectPr>
          <w:pgSz w:w="11900" w:h="16838" w:orient="portrait"/>
          <w:cols w:equalWidth="0" w:num="1">
            <w:col w:w="11220"/>
          </w:cols>
          <w:pgMar w:left="32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60" w:firstLine="449"/>
        <w:spacing w:after="0" w:line="273" w:lineRule="auto"/>
        <w:rPr>
          <w:sz w:val="20"/>
          <w:szCs w:val="20"/>
          <w:color w:val="auto"/>
        </w:rPr>
      </w:pPr>
      <w:r>
        <w:rPr>
          <w:rFonts w:ascii="Arial" w:cs="Arial" w:eastAsia="Arial" w:hAnsi="Arial"/>
          <w:sz w:val="17"/>
          <w:szCs w:val="17"/>
          <w:color w:val="auto"/>
        </w:rPr>
        <w:t>This prospectus is a part of a registration statement on Form S-1 that we filed with the SEC using a “shelf” registration or continuous offering process. Under this shelf process, the Registered Stockholders may, from time to time, sell the Class A common stock covered by this prospectus in the manner described in the section titled “Plan of Distribution.” Additionally, we may provide a prospectus supplement to add information to, or update or change information contained in, this prospectus, including the section titled “Plan of Distribution.” You may obtain this information without charge by following the instructions under the section titled “Where You Can Find Additional Information” appearing elsewhere in this prospectus. You should read this prospectus and any prospectus supplement before deciding to invest in our Class A common stock</w:t>
      </w:r>
      <w:r>
        <w:rPr>
          <w:rFonts w:ascii="Arial" w:cs="Arial" w:eastAsia="Arial" w:hAnsi="Arial"/>
          <w:sz w:val="17"/>
          <w:szCs w:val="17"/>
          <w:i w:val="1"/>
          <w:iCs w:val="1"/>
          <w:color w:val="auto"/>
        </w:rPr>
        <w: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1000" w:hanging="547"/>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filing and effectiveness of our restated certificate of incorporation in Delaware and the adoption of our restated bylaws, each of which will occur in connection with the effectiveness of the registration statement of which this prospectus forms a part;</w:t>
      </w:r>
    </w:p>
    <w:p>
      <w:pPr>
        <w:spacing w:after="0" w:line="75" w:lineRule="exact"/>
        <w:rPr>
          <w:rFonts w:ascii="Arial" w:cs="Arial" w:eastAsia="Arial" w:hAnsi="Arial"/>
          <w:sz w:val="18"/>
          <w:szCs w:val="18"/>
          <w:color w:val="auto"/>
        </w:rPr>
      </w:pPr>
    </w:p>
    <w:p>
      <w:pPr>
        <w:ind w:left="1600" w:right="40" w:hanging="1147"/>
        <w:spacing w:after="0" w:line="291" w:lineRule="auto"/>
        <w:tabs>
          <w:tab w:leader="none" w:pos="101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automatic conversion of all outstanding shares of our redeemable convertible preferred stock, or preferred stock, into an aggregate of shares of our Class B common stock, the conversion of which will occur upon the effectiveness of the registration statement of which</w:t>
      </w:r>
    </w:p>
    <w:p>
      <w:pPr>
        <w:ind w:left="1000"/>
        <w:spacing w:after="0"/>
        <w:rPr>
          <w:sz w:val="20"/>
          <w:szCs w:val="20"/>
          <w:color w:val="auto"/>
        </w:rPr>
      </w:pPr>
      <w:r>
        <w:rPr>
          <w:rFonts w:ascii="Arial" w:cs="Arial" w:eastAsia="Arial" w:hAnsi="Arial"/>
          <w:sz w:val="18"/>
          <w:szCs w:val="18"/>
          <w:color w:val="auto"/>
        </w:rPr>
        <w:t>this prospectus forms a part;</w:t>
      </w:r>
    </w:p>
    <w:p>
      <w:pPr>
        <w:spacing w:after="0" w:line="116" w:lineRule="exact"/>
        <w:rPr>
          <w:sz w:val="20"/>
          <w:szCs w:val="20"/>
          <w:color w:val="auto"/>
        </w:rPr>
      </w:pPr>
    </w:p>
    <w:p>
      <w:pPr>
        <w:ind w:left="1000" w:hanging="54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conversion of our 3.5% senior mandatory convertible promissory note due 2025;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exercise of the outstanding options or vesting and settlement of the restricted stock units, or RSUs, described herein.</w:t>
      </w:r>
    </w:p>
    <w:p>
      <w:pPr>
        <w:spacing w:after="0" w:line="225"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Prior to the effectiveness of the registration statement of which this prospectus forms a part, we had a dual class capital structure whereby holders of our Class A common stock were entitled to 100 votes per share and holders of our Class B common stock were entitled to one vote per share. We intend to reclassify our Class A common stock and Class B common stock into Class B common stock and Class A common stock, respectively, and reduce the voting power of the high-vote common stock (reclassified as Class B common stock) from 100 votes per share to 10 votes per share. We refer to the foregoing as the Reclassification throughout this prospectus. References to Class A common stock and Class B common stock in our consolidated financial statements contained elsewhere in this prospectus do not reflect the Reclassification.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979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20" w:firstLine="434"/>
        <w:spacing w:after="0" w:line="272" w:lineRule="auto"/>
        <w:rPr>
          <w:sz w:val="20"/>
          <w:szCs w:val="20"/>
          <w:color w:val="auto"/>
        </w:rPr>
      </w:pPr>
      <w:r>
        <w:rPr>
          <w:rFonts w:ascii="Arial" w:cs="Arial" w:eastAsia="Arial" w:hAnsi="Arial"/>
          <w:sz w:val="17"/>
          <w:szCs w:val="17"/>
          <w:i w:val="1"/>
          <w:iCs w:val="1"/>
          <w:color w:val="auto"/>
        </w:rPr>
        <w:t>This summary highlights information contained in greater detail elsewhere in this prospectus. This summary is not complete and does not contain all of the information you should consider in making your investment decision. You should read the entire prospectus carefully before making an investment in our Class A common stock. You should carefully consider, among other things, our consolidated financial statements and the sections titled “Risk Factors” and “Management’s Discussion and Analysis of Financial Condition and Results of Operations” included elsewhere in this prospectus before making an investment decision. Unless the context otherwise requires, the terms “Asana,” “the company,” “we,” “us,” and “our” in this prospectus refers to Asana, Inc. and its consolidated subsidiaries. Our fiscal year ends January 31, and references throughout this prospectus to a given fiscal year are to the 12 months ended on that date.</w:t>
      </w:r>
    </w:p>
    <w:p>
      <w:pPr>
        <w:spacing w:after="0" w:line="3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ASANA, INC.</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mission is to help humanity thrive by enabling the world’s teams to work together effortlessly.</w:t>
      </w:r>
    </w:p>
    <w:p>
      <w:pPr>
        <w:spacing w:after="0" w:line="225" w:lineRule="exact"/>
        <w:rPr>
          <w:sz w:val="20"/>
          <w:szCs w:val="20"/>
          <w:color w:val="auto"/>
        </w:rPr>
      </w:pPr>
    </w:p>
    <w:p>
      <w:pPr>
        <w:ind w:left="200" w:firstLine="434"/>
        <w:spacing w:after="0" w:line="259" w:lineRule="auto"/>
        <w:rPr>
          <w:sz w:val="20"/>
          <w:szCs w:val="20"/>
          <w:color w:val="auto"/>
        </w:rPr>
      </w:pPr>
      <w:r>
        <w:rPr>
          <w:rFonts w:ascii="Arial" w:cs="Arial" w:eastAsia="Arial" w:hAnsi="Arial"/>
          <w:sz w:val="18"/>
          <w:szCs w:val="18"/>
          <w:color w:val="auto"/>
        </w:rPr>
        <w:t>Asana is a work management platform that helps teams orchestrate work, from daily tasks to cross-functional strategic initiatives. Over 75,000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History</w:t>
      </w:r>
    </w:p>
    <w:p>
      <w:pPr>
        <w:spacing w:after="0" w:line="117" w:lineRule="exact"/>
        <w:rPr>
          <w:sz w:val="20"/>
          <w:szCs w:val="20"/>
          <w:color w:val="auto"/>
        </w:rPr>
      </w:pPr>
    </w:p>
    <w:p>
      <w:pPr>
        <w:ind w:left="200" w:firstLine="434"/>
        <w:spacing w:after="0" w:line="275" w:lineRule="auto"/>
        <w:rPr>
          <w:sz w:val="20"/>
          <w:szCs w:val="20"/>
          <w:color w:val="auto"/>
        </w:rPr>
      </w:pPr>
      <w:r>
        <w:rPr>
          <w:rFonts w:ascii="Arial" w:cs="Arial" w:eastAsia="Arial" w:hAnsi="Arial"/>
          <w:sz w:val="17"/>
          <w:szCs w:val="17"/>
          <w:color w:val="auto"/>
        </w:rPr>
        <w:t>We started Asana because our co-founders experienced firsthand the growing problem of work about work. While at Facebook, they saw the coordination challenges the company faced as it scaled. Instead of spending time on work that generated results, they were spending time in status meetings and long email threads trying to figure out who was responsible for what. They recognized the pain of work about work was universal to teams that need to coordinate their work effectively to achieve their objectives. Yet there were no products in the market that adequately addressed this pain. As a result of that frustration, they were inspired to create Asana to solve this problem for the world’s teams.</w:t>
      </w:r>
    </w:p>
    <w:p>
      <w:pPr>
        <w:spacing w:after="0" w:line="176" w:lineRule="exact"/>
        <w:rPr>
          <w:sz w:val="20"/>
          <w:szCs w:val="20"/>
          <w:color w:val="auto"/>
        </w:rPr>
      </w:pPr>
    </w:p>
    <w:p>
      <w:pPr>
        <w:ind w:left="200" w:right="420" w:firstLine="434"/>
        <w:spacing w:after="0" w:line="263" w:lineRule="auto"/>
        <w:rPr>
          <w:sz w:val="20"/>
          <w:szCs w:val="20"/>
          <w:color w:val="auto"/>
        </w:rPr>
      </w:pPr>
      <w:r>
        <w:rPr>
          <w:rFonts w:ascii="Arial" w:cs="Arial" w:eastAsia="Arial" w:hAnsi="Arial"/>
          <w:sz w:val="18"/>
          <w:szCs w:val="18"/>
          <w:color w:val="auto"/>
        </w:rPr>
        <w:t>Since our inception, millions of teams in virtually every country around the world have used Asana. With Asana, users experience higher productivity, which has led to rapid adoption across teams, departments, and organizations. As of January 31, 2020, we had over 1.2 million paid users.</w:t>
      </w:r>
    </w:p>
    <w:p>
      <w:pPr>
        <w:spacing w:after="0" w:line="29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Teams Spend Too Much Time on Work About Work</w:t>
      </w:r>
    </w:p>
    <w:p>
      <w:pPr>
        <w:spacing w:after="0" w:line="117" w:lineRule="exact"/>
        <w:rPr>
          <w:sz w:val="20"/>
          <w:szCs w:val="20"/>
          <w:color w:val="auto"/>
        </w:rPr>
      </w:pPr>
    </w:p>
    <w:p>
      <w:pPr>
        <w:ind w:left="200" w:right="120" w:firstLine="434"/>
        <w:spacing w:after="0" w:line="293" w:lineRule="auto"/>
        <w:rPr>
          <w:sz w:val="20"/>
          <w:szCs w:val="20"/>
          <w:color w:val="auto"/>
        </w:rPr>
      </w:pPr>
      <w:r>
        <w:rPr>
          <w:rFonts w:ascii="Arial" w:cs="Arial" w:eastAsia="Arial" w:hAnsi="Arial"/>
          <w:sz w:val="16"/>
          <w:szCs w:val="16"/>
          <w:color w:val="auto"/>
        </w:rPr>
        <w:t>Work continues to get harder to manage as organizations try to move faster to respond to changing market demands. Today, 60% of knowledge workers’ time is spent on work about work. At work, people face an overwhelming volume of communications from email and messaging applications, many of which are asking for status updates. These messages often go to multiple people, so there is limited clarity around what steps need to be taken and by when, and limited accountability around who owns the action. As a result, requests go unanswered, and employees spend more time searching and responding to messages in an attempt to provide clarity and accountability to their teams. To minimize work about work, reduce chaos, and give individuals time back to focus on the work that matters, teams need a purpose-built solution for coordination.</w:t>
      </w:r>
    </w:p>
    <w:p>
      <w:pPr>
        <w:spacing w:after="0" w:line="200" w:lineRule="exact"/>
        <w:rPr>
          <w:sz w:val="20"/>
          <w:szCs w:val="20"/>
          <w:color w:val="auto"/>
        </w:rPr>
      </w:pP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320" w:top="459" w:right="5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953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How Asana Helps Teams</w:t>
      </w:r>
    </w:p>
    <w:p>
      <w:pPr>
        <w:spacing w:after="0" w:line="117" w:lineRule="exact"/>
        <w:rPr>
          <w:sz w:val="20"/>
          <w:szCs w:val="20"/>
          <w:color w:val="auto"/>
        </w:rPr>
      </w:pPr>
    </w:p>
    <w:p>
      <w:pPr>
        <w:ind w:left="200" w:right="40" w:firstLine="434"/>
        <w:spacing w:after="0" w:line="263" w:lineRule="auto"/>
        <w:rPr>
          <w:sz w:val="20"/>
          <w:szCs w:val="20"/>
          <w:color w:val="auto"/>
        </w:rPr>
      </w:pPr>
      <w:r>
        <w:rPr>
          <w:rFonts w:ascii="Arial" w:cs="Arial" w:eastAsia="Arial" w:hAnsi="Arial"/>
          <w:sz w:val="18"/>
          <w:szCs w:val="18"/>
          <w:color w:val="auto"/>
        </w:rPr>
        <w:t>Asana is a system of record for work. This system collects and structures institutional knowledge about how past work was completed and provides a real-time plan and roadmap for current and future initiatives. Our platform is built on our proprietary, multi-dimensional data model, which we call the work graph. The work graph captures and associates:</w:t>
      </w:r>
    </w:p>
    <w:p>
      <w:pPr>
        <w:spacing w:after="0" w:line="89" w:lineRule="exact"/>
        <w:rPr>
          <w:sz w:val="20"/>
          <w:szCs w:val="20"/>
          <w:color w:val="auto"/>
        </w:rPr>
      </w:pPr>
    </w:p>
    <w:p>
      <w:pPr>
        <w:ind w:left="1160" w:hanging="53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units of work—tasks, projects, milestones, and portfolios;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people responsible for executing those units of work;</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processes in which work gets done—rules and templates;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information about that work—files, comments, status, and metadata;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relationships across and within this data.</w:t>
      </w:r>
    </w:p>
    <w:p>
      <w:pPr>
        <w:spacing w:after="0" w:line="225" w:lineRule="exact"/>
        <w:rPr>
          <w:sz w:val="20"/>
          <w:szCs w:val="20"/>
          <w:color w:val="auto"/>
        </w:rPr>
      </w:pPr>
    </w:p>
    <w:p>
      <w:pPr>
        <w:ind w:left="200" w:firstLine="434"/>
        <w:spacing w:after="0" w:line="301" w:lineRule="auto"/>
        <w:rPr>
          <w:sz w:val="20"/>
          <w:szCs w:val="20"/>
          <w:color w:val="auto"/>
        </w:rPr>
      </w:pPr>
      <w:r>
        <w:rPr>
          <w:rFonts w:ascii="Arial" w:cs="Arial" w:eastAsia="Arial" w:hAnsi="Arial"/>
          <w:sz w:val="16"/>
          <w:szCs w:val="16"/>
          <w:color w:val="auto"/>
        </w:rPr>
        <w:t>Our data model provides individuals, team leads, and executives with dynamic views into the work that is most relevant to them—across multiple people and projects—all based on the same underlying data in the work graph. Individuals can manage and prioritize their daily tasks and collaborate with team members on shared projects, gaining visibility into who is doing what, and when each piece of work is due. Team leads can plan work and optimize team workload across multiple projects, and executives can track progress towards company objectives in real time.</w:t>
      </w:r>
    </w:p>
    <w:p>
      <w:pPr>
        <w:spacing w:after="0" w:line="157" w:lineRule="exact"/>
        <w:rPr>
          <w:sz w:val="20"/>
          <w:szCs w:val="20"/>
          <w:color w:val="auto"/>
        </w:rPr>
      </w:pPr>
    </w:p>
    <w:p>
      <w:pPr>
        <w:ind w:left="200" w:right="60" w:firstLine="434"/>
        <w:spacing w:after="0" w:line="259" w:lineRule="auto"/>
        <w:rPr>
          <w:sz w:val="20"/>
          <w:szCs w:val="20"/>
          <w:color w:val="auto"/>
        </w:rPr>
      </w:pPr>
      <w:r>
        <w:rPr>
          <w:rFonts w:ascii="Arial" w:cs="Arial" w:eastAsia="Arial" w:hAnsi="Arial"/>
          <w:sz w:val="18"/>
          <w:szCs w:val="18"/>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external support. We allow users to work the way they want with the interface that is right for them, using tasks, lists, calendars, boards, timelines, and workload.</w:t>
      </w:r>
    </w:p>
    <w:p>
      <w:pPr>
        <w:spacing w:after="0" w:line="29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117" w:lineRule="exact"/>
        <w:rPr>
          <w:sz w:val="20"/>
          <w:szCs w:val="20"/>
          <w:color w:val="auto"/>
        </w:rPr>
      </w:pPr>
    </w:p>
    <w:p>
      <w:pPr>
        <w:ind w:left="200" w:right="120" w:firstLine="434"/>
        <w:spacing w:after="0" w:line="284" w:lineRule="auto"/>
        <w:rPr>
          <w:sz w:val="20"/>
          <w:szCs w:val="20"/>
          <w:color w:val="auto"/>
        </w:rPr>
      </w:pPr>
      <w:r>
        <w:rPr>
          <w:rFonts w:ascii="Arial" w:cs="Arial" w:eastAsia="Arial" w:hAnsi="Arial"/>
          <w:sz w:val="16"/>
          <w:szCs w:val="16"/>
          <w:color w:val="auto"/>
        </w:rPr>
        <w:t>Our hybrid self-service and direct sales model allows us to efficiently reach teams everywhere and then rapidly expand the use of our platform within their organizations. A majority of our paying customers initially adopt our platform through self-service and free trials. Once adopted, customers can expand through self-service or with the assistance of our direct sales team, which is focused on promoting new use cases of Asana. As customers realize the productivity benefits we provide, our platform often becomes critical to managing their work and achieving their objectives, which drives further adoption and expansion opportunities. This is evidenced by our dollar-based net retention rate, which generally increases with greater organizational spend. As of January 31, 2020, our dollar-based net retention rate within organizations spending $5,000 or more with us on an annualized basis was %. Our dollar-based net retention rate within organizations spending $50,000 or more with us on an annualized basis was</w:t>
      </w:r>
    </w:p>
    <w:p>
      <w:pPr>
        <w:spacing w:after="0" w:line="2" w:lineRule="exact"/>
        <w:rPr>
          <w:sz w:val="20"/>
          <w:szCs w:val="20"/>
          <w:color w:val="auto"/>
        </w:rPr>
      </w:pPr>
    </w:p>
    <w:p>
      <w:pPr>
        <w:ind w:left="380"/>
        <w:spacing w:after="0"/>
        <w:tabs>
          <w:tab w:leader="none" w:pos="5840" w:val="left"/>
        </w:tabs>
        <w:rPr>
          <w:sz w:val="20"/>
          <w:szCs w:val="20"/>
          <w:color w:val="auto"/>
        </w:rPr>
      </w:pPr>
      <w:r>
        <w:rPr>
          <w:rFonts w:ascii="Arial" w:cs="Arial" w:eastAsia="Arial" w:hAnsi="Arial"/>
          <w:sz w:val="17"/>
          <w:szCs w:val="17"/>
          <w:color w:val="auto"/>
        </w:rPr>
        <w:t>%. Our overall dollar-based net retention rate as of January 31, 2020 was</w:t>
      </w:r>
      <w:r>
        <w:rPr>
          <w:sz w:val="20"/>
          <w:szCs w:val="20"/>
          <w:color w:val="auto"/>
        </w:rPr>
        <w:tab/>
      </w:r>
      <w:r>
        <w:rPr>
          <w:rFonts w:ascii="Arial" w:cs="Arial" w:eastAsia="Arial" w:hAnsi="Arial"/>
          <w:sz w:val="15"/>
          <w:szCs w:val="15"/>
          <w:color w:val="auto"/>
        </w:rPr>
        <w:t>%.</w:t>
      </w:r>
    </w:p>
    <w:p>
      <w:pPr>
        <w:spacing w:after="0" w:line="330"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Our Company Culture</w:t>
      </w:r>
    </w:p>
    <w:p>
      <w:pPr>
        <w:spacing w:after="0" w:line="117" w:lineRule="exact"/>
        <w:rPr>
          <w:sz w:val="20"/>
          <w:szCs w:val="20"/>
          <w:color w:val="auto"/>
        </w:rPr>
      </w:pPr>
    </w:p>
    <w:p>
      <w:pPr>
        <w:ind w:left="200" w:right="60" w:firstLine="434"/>
        <w:spacing w:after="0" w:line="257" w:lineRule="auto"/>
        <w:rPr>
          <w:sz w:val="20"/>
          <w:szCs w:val="20"/>
          <w:color w:val="auto"/>
        </w:rPr>
      </w:pPr>
      <w:r>
        <w:rPr>
          <w:rFonts w:ascii="Arial" w:cs="Arial" w:eastAsia="Arial" w:hAnsi="Arial"/>
          <w:sz w:val="18"/>
          <w:szCs w:val="18"/>
          <w:color w:val="auto"/>
        </w:rPr>
        <w:t>We believe that our company culture enables us to achieve our mission and is a core driver of our business success. We endeavor to make product, business, and people decisions that allow us to carry out our mission while staying true to our values. We are a mission-driven organization first and have designed our values, along with our programs and processes, to help us maximize the potential of every individual in our company. Our values and processes also give us credibility when we share best practices for teamwork in the market and allow us to build those practices into our product.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45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3474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347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Our Rapid Growth</w:t>
      </w:r>
    </w:p>
    <w:p>
      <w:pPr>
        <w:spacing w:after="0" w:line="117" w:lineRule="exact"/>
        <w:rPr>
          <w:sz w:val="20"/>
          <w:szCs w:val="20"/>
          <w:color w:val="auto"/>
        </w:rPr>
      </w:pPr>
    </w:p>
    <w:p>
      <w:pPr>
        <w:ind w:left="200" w:right="580" w:firstLine="434"/>
        <w:spacing w:after="0" w:line="308" w:lineRule="auto"/>
        <w:rPr>
          <w:sz w:val="20"/>
          <w:szCs w:val="20"/>
          <w:color w:val="auto"/>
        </w:rPr>
      </w:pPr>
      <w:r>
        <w:rPr>
          <w:rFonts w:ascii="Arial" w:cs="Arial" w:eastAsia="Arial" w:hAnsi="Arial"/>
          <w:sz w:val="17"/>
          <w:szCs w:val="17"/>
          <w:color w:val="auto"/>
        </w:rPr>
        <w:t>We have experienced rapid growth in recent periods. Our revenues were $76.8 million and $ million for fiscal 2019 and fiscal 2020, respectively, representing growth of %. We had a net loss of $50.9 million and $ million for fiscal 2019 and fiscal 2020, respectively.</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Teams must be coordinated and move quickly to be successful</w:t>
      </w:r>
    </w:p>
    <w:p>
      <w:pPr>
        <w:spacing w:after="0" w:line="117" w:lineRule="exact"/>
        <w:rPr>
          <w:sz w:val="20"/>
          <w:szCs w:val="20"/>
          <w:color w:val="auto"/>
        </w:rPr>
      </w:pPr>
    </w:p>
    <w:p>
      <w:pPr>
        <w:ind w:left="200" w:right="40" w:firstLine="434"/>
        <w:spacing w:after="0" w:line="257" w:lineRule="auto"/>
        <w:rPr>
          <w:sz w:val="20"/>
          <w:szCs w:val="20"/>
          <w:color w:val="auto"/>
        </w:rPr>
      </w:pPr>
      <w:r>
        <w:rPr>
          <w:rFonts w:ascii="Arial" w:cs="Arial" w:eastAsia="Arial" w:hAnsi="Arial"/>
          <w:sz w:val="18"/>
          <w:szCs w:val="18"/>
          <w:color w:val="auto"/>
        </w:rPr>
        <w:t>Teams today must navigate work that is increasingly cross-functional, matrixed, and distributed, while also moving quickly to meet the objectives of their organizations. Traditional hierarchical processes, where centralized managers make decisions and disseminate information down to team members, result in significant time passing before contributors have the clarity they need to execute. With product lifecycles now shorter than ever, organizations cannot afford slow, inefficient processes. Individuals and teams need to be empowered to make autonomous decisions aligned with organizational goals to ensure business agility.</w:t>
      </w:r>
    </w:p>
    <w:p>
      <w:pPr>
        <w:spacing w:after="0" w:line="296"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Communication overload hurts productivity</w:t>
      </w:r>
    </w:p>
    <w:p>
      <w:pPr>
        <w:spacing w:after="0" w:line="117" w:lineRule="exact"/>
        <w:rPr>
          <w:sz w:val="20"/>
          <w:szCs w:val="20"/>
          <w:color w:val="auto"/>
        </w:rPr>
      </w:pPr>
    </w:p>
    <w:p>
      <w:pPr>
        <w:ind w:left="200" w:firstLine="434"/>
        <w:spacing w:after="0" w:line="279" w:lineRule="auto"/>
        <w:rPr>
          <w:sz w:val="20"/>
          <w:szCs w:val="20"/>
          <w:color w:val="auto"/>
        </w:rPr>
      </w:pPr>
      <w:r>
        <w:rPr>
          <w:rFonts w:ascii="Arial" w:cs="Arial" w:eastAsia="Arial" w:hAnsi="Arial"/>
          <w:sz w:val="17"/>
          <w:szCs w:val="17"/>
          <w:color w:val="auto"/>
        </w:rPr>
        <w:t>Businesses have adopted a number of applications to improve communication such as Skype, WeChat, WhatsApp, Microsoft Teams, and Slack, among others. While these applications help teams communicate, they were not designed to provide a system of record to track and coordinate units of work or set up processes for rapid execution. The average knowledge worker receives 121 emails per day—70% of which are opened within six seconds. People have become prisoners to email and messaging applications, using their inboxes as makeshift to-do lists.</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Teams spend more time coordinating work than actually doing work</w:t>
      </w:r>
    </w:p>
    <w:p>
      <w:pPr>
        <w:spacing w:after="0" w:line="117" w:lineRule="exact"/>
        <w:rPr>
          <w:sz w:val="20"/>
          <w:szCs w:val="20"/>
          <w:color w:val="auto"/>
        </w:rPr>
      </w:pPr>
    </w:p>
    <w:p>
      <w:pPr>
        <w:ind w:left="200" w:right="100" w:firstLine="434"/>
        <w:spacing w:after="0" w:line="308" w:lineRule="auto"/>
        <w:rPr>
          <w:sz w:val="20"/>
          <w:szCs w:val="20"/>
          <w:color w:val="auto"/>
        </w:rPr>
      </w:pPr>
      <w:r>
        <w:rPr>
          <w:rFonts w:ascii="Arial" w:cs="Arial" w:eastAsia="Arial" w:hAnsi="Arial"/>
          <w:sz w:val="17"/>
          <w:szCs w:val="17"/>
          <w:color w:val="auto"/>
        </w:rPr>
        <w:t>Productivity gains can occur when individuals and teams have the opportunity to focus uninterrupted. However, employees spend less than half of their day on critical work. According to a survey conducted by McKinsey Global Institute of a broad set of knowledge workers:</w:t>
      </w:r>
    </w:p>
    <w:p>
      <w:pPr>
        <w:spacing w:after="0" w:line="52" w:lineRule="exact"/>
        <w:rPr>
          <w:sz w:val="20"/>
          <w:szCs w:val="20"/>
          <w:color w:val="auto"/>
        </w:rPr>
      </w:pPr>
    </w:p>
    <w:p>
      <w:pPr>
        <w:ind w:left="1160" w:hanging="534"/>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28% of time is spent answering email;</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19% of time is spent gathering information;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14% of time is spent on internal communication.</w:t>
      </w:r>
    </w:p>
    <w:p>
      <w:pPr>
        <w:spacing w:after="0" w:line="333"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Teams need more effective tools to orchestrate work</w:t>
      </w:r>
    </w:p>
    <w:p>
      <w:pPr>
        <w:spacing w:after="0" w:line="117" w:lineRule="exact"/>
        <w:rPr>
          <w:sz w:val="20"/>
          <w:szCs w:val="20"/>
          <w:color w:val="auto"/>
        </w:rPr>
      </w:pPr>
    </w:p>
    <w:p>
      <w:pPr>
        <w:ind w:left="200" w:right="160" w:firstLine="434"/>
        <w:spacing w:after="0" w:line="296" w:lineRule="auto"/>
        <w:rPr>
          <w:sz w:val="20"/>
          <w:szCs w:val="20"/>
          <w:color w:val="auto"/>
        </w:rPr>
      </w:pPr>
      <w:r>
        <w:rPr>
          <w:rFonts w:ascii="Arial" w:cs="Arial" w:eastAsia="Arial" w:hAnsi="Arial"/>
          <w:sz w:val="16"/>
          <w:szCs w:val="16"/>
          <w:color w:val="auto"/>
        </w:rPr>
        <w:t>The primary methods for managing work today consist of a combination of spreadsheets and email, in addition to handwritten notes, calls, and meetings. Over time, communication tools (like email and messaging) and content applications (such as file sharing and storage services) have been repurposed for coordinating work because they are familiar and accessible. However, these tools lack the purpose-built functionality required for teams to collaboratively plan, manage, and execute work. Spreadsheets quickly become outdated, lack automation capabilities, and cannot provide multi-dimensional views of multiple projects or real-time insight. Email cannot build workflows, assign tasks, or track progress.</w:t>
      </w:r>
    </w:p>
    <w:p>
      <w:pPr>
        <w:spacing w:after="0" w:line="26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Clarity drives employee engagement that improves business results</w:t>
      </w:r>
    </w:p>
    <w:p>
      <w:pPr>
        <w:spacing w:after="0" w:line="117" w:lineRule="exact"/>
        <w:rPr>
          <w:sz w:val="20"/>
          <w:szCs w:val="20"/>
          <w:color w:val="auto"/>
        </w:rPr>
      </w:pPr>
    </w:p>
    <w:p>
      <w:pPr>
        <w:ind w:left="200" w:right="80" w:firstLine="434"/>
        <w:spacing w:after="0" w:line="263" w:lineRule="auto"/>
        <w:rPr>
          <w:sz w:val="20"/>
          <w:szCs w:val="20"/>
          <w:color w:val="auto"/>
        </w:rPr>
      </w:pPr>
      <w:r>
        <w:rPr>
          <w:rFonts w:ascii="Arial" w:cs="Arial" w:eastAsia="Arial" w:hAnsi="Arial"/>
          <w:sz w:val="18"/>
          <w:szCs w:val="18"/>
          <w:color w:val="auto"/>
        </w:rPr>
        <w:t>Employee engagement—the extent to which employees are invested in their job and contribute the effort needed to do their job well—is critical to high-performing businesses. According to Gallup, organizations in the top quartile of employee engagement realize substantially better customer engagement, higher productivity,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32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219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219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spacing w:after="0" w:line="263" w:lineRule="auto"/>
        <w:rPr>
          <w:sz w:val="20"/>
          <w:szCs w:val="20"/>
          <w:color w:val="auto"/>
        </w:rPr>
      </w:pPr>
      <w:r>
        <w:rPr>
          <w:rFonts w:ascii="Arial" w:cs="Arial" w:eastAsia="Arial" w:hAnsi="Arial"/>
          <w:sz w:val="18"/>
          <w:szCs w:val="18"/>
          <w:color w:val="auto"/>
        </w:rPr>
        <w:t>better retention, fewer accidents, and 21% higher profitability than organizations with low engagement. Individuals are more engaged at work when they have clarity. Clarity helps individuals better understand how their work connects to the organization’s objectives so they know where to focus and find their work more rewarding and engaging.</w:t>
      </w:r>
    </w:p>
    <w:p>
      <w:pPr>
        <w:spacing w:after="0" w:line="29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Organizations need new, purpose-built solutions for work management</w:t>
      </w:r>
    </w:p>
    <w:p>
      <w:pPr>
        <w:spacing w:after="0" w:line="117" w:lineRule="exact"/>
        <w:rPr>
          <w:sz w:val="20"/>
          <w:szCs w:val="20"/>
          <w:color w:val="auto"/>
        </w:rPr>
      </w:pPr>
    </w:p>
    <w:p>
      <w:pPr>
        <w:jc w:val="both"/>
        <w:ind w:left="200" w:right="120" w:firstLine="434"/>
        <w:spacing w:after="0" w:line="286" w:lineRule="auto"/>
        <w:rPr>
          <w:sz w:val="20"/>
          <w:szCs w:val="20"/>
          <w:color w:val="auto"/>
        </w:rPr>
      </w:pPr>
      <w:r>
        <w:rPr>
          <w:rFonts w:ascii="Arial" w:cs="Arial" w:eastAsia="Arial" w:hAnsi="Arial"/>
          <w:sz w:val="17"/>
          <w:szCs w:val="17"/>
          <w:color w:val="auto"/>
        </w:rPr>
        <w:t>Organizations need a work management solution that provides transparency, clarity, and accountability so that individuals and teams know—at any given time—what work needs to get done, by whom and by when. This solution needs to scale across people, projects, and portfolios of projects so individuals, team leads, and executives can understand and take action on opportunities and inefficiencies in real time.</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Existing offerings fall short of delivering on these imperatives:</w:t>
      </w:r>
    </w:p>
    <w:p>
      <w:pPr>
        <w:spacing w:after="0" w:line="225" w:lineRule="exact"/>
        <w:rPr>
          <w:sz w:val="20"/>
          <w:szCs w:val="20"/>
          <w:color w:val="auto"/>
        </w:rPr>
      </w:pPr>
    </w:p>
    <w:p>
      <w:pPr>
        <w:ind w:left="200" w:right="180" w:firstLine="434"/>
        <w:spacing w:after="0" w:line="342" w:lineRule="auto"/>
        <w:rPr>
          <w:sz w:val="20"/>
          <w:szCs w:val="20"/>
          <w:color w:val="auto"/>
        </w:rPr>
      </w:pPr>
      <w:r>
        <w:rPr>
          <w:rFonts w:ascii="Arial" w:cs="Arial" w:eastAsia="Arial" w:hAnsi="Arial"/>
          <w:sz w:val="16"/>
          <w:szCs w:val="16"/>
          <w:b w:val="1"/>
          <w:bCs w:val="1"/>
          <w:i w:val="1"/>
          <w:iCs w:val="1"/>
          <w:color w:val="auto"/>
        </w:rPr>
        <w:t>Spreadsheets and email</w:t>
      </w:r>
      <w:r>
        <w:rPr>
          <w:rFonts w:ascii="Arial" w:cs="Arial" w:eastAsia="Arial" w:hAnsi="Arial"/>
          <w:sz w:val="16"/>
          <w:szCs w:val="16"/>
          <w:color w:val="auto"/>
        </w:rPr>
        <w:t>. Spreadsheets and email lack the required capabilities to help teams effectively plan, manage, and orchestrate work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scale. Captured information quickly becomes out of date because it is not connected to the workstreams happening outside of these tools.</w:t>
      </w:r>
    </w:p>
    <w:p>
      <w:pPr>
        <w:spacing w:after="0" w:line="124" w:lineRule="exact"/>
        <w:rPr>
          <w:sz w:val="20"/>
          <w:szCs w:val="20"/>
          <w:color w:val="auto"/>
        </w:rPr>
      </w:pPr>
    </w:p>
    <w:p>
      <w:pPr>
        <w:ind w:left="200" w:right="60" w:firstLine="434"/>
        <w:spacing w:after="0" w:line="311" w:lineRule="auto"/>
        <w:rPr>
          <w:sz w:val="20"/>
          <w:szCs w:val="20"/>
          <w:color w:val="auto"/>
        </w:rPr>
      </w:pPr>
      <w:r>
        <w:rPr>
          <w:rFonts w:ascii="Arial" w:cs="Arial" w:eastAsia="Arial" w:hAnsi="Arial"/>
          <w:sz w:val="16"/>
          <w:szCs w:val="16"/>
          <w:b w:val="1"/>
          <w:bCs w:val="1"/>
          <w:i w:val="1"/>
          <w:iCs w:val="1"/>
          <w:color w:val="auto"/>
        </w:rPr>
        <w:t>Legacy project management tools</w:t>
      </w:r>
      <w:r>
        <w:rPr>
          <w:rFonts w:ascii="Arial" w:cs="Arial" w:eastAsia="Arial" w:hAnsi="Arial"/>
          <w:sz w:val="16"/>
          <w:szCs w:val="16"/>
          <w:color w:val="auto"/>
        </w:rPr>
        <w:t>. Legacy project management tools are difficult for many users to adopt. These tools were primarily designed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dedicated project managers, not everyday users who often lack the skills to design a project, make customizations, or integrate third-party applications. Additionally, they create information silos because they are not linked to the underlying work and communications about that work.</w:t>
      </w:r>
    </w:p>
    <w:p>
      <w:pPr>
        <w:spacing w:after="0" w:line="149" w:lineRule="exact"/>
        <w:rPr>
          <w:sz w:val="20"/>
          <w:szCs w:val="20"/>
          <w:color w:val="auto"/>
        </w:rPr>
      </w:pPr>
    </w:p>
    <w:p>
      <w:pPr>
        <w:ind w:left="200" w:right="500" w:firstLine="434"/>
        <w:spacing w:after="0" w:line="342" w:lineRule="auto"/>
        <w:rPr>
          <w:sz w:val="20"/>
          <w:szCs w:val="20"/>
          <w:color w:val="auto"/>
        </w:rPr>
      </w:pPr>
      <w:r>
        <w:rPr>
          <w:rFonts w:ascii="Arial" w:cs="Arial" w:eastAsia="Arial" w:hAnsi="Arial"/>
          <w:sz w:val="16"/>
          <w:szCs w:val="16"/>
          <w:b w:val="1"/>
          <w:bCs w:val="1"/>
          <w:i w:val="1"/>
          <w:iCs w:val="1"/>
          <w:color w:val="auto"/>
        </w:rPr>
        <w:t>Vertical applications</w:t>
      </w:r>
      <w:r>
        <w:rPr>
          <w:rFonts w:ascii="Arial" w:cs="Arial" w:eastAsia="Arial" w:hAnsi="Arial"/>
          <w:sz w:val="16"/>
          <w:szCs w:val="16"/>
          <w:color w:val="auto"/>
        </w:rPr>
        <w:t>. Vertical applications are purpose-built for specific use cases, such as software development, ticketing, and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planning. These generally operate in departmental silos and are difficult to adapt to other use cases, either at all or without coding.</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80" w:firstLine="434"/>
        <w:spacing w:after="0" w:line="263" w:lineRule="auto"/>
        <w:rPr>
          <w:sz w:val="20"/>
          <w:szCs w:val="20"/>
          <w:color w:val="auto"/>
        </w:rPr>
      </w:pPr>
      <w:r>
        <w:rPr>
          <w:rFonts w:ascii="Arial" w:cs="Arial" w:eastAsia="Arial" w:hAnsi="Arial"/>
          <w:sz w:val="18"/>
          <w:szCs w:val="18"/>
          <w:color w:val="auto"/>
        </w:rPr>
        <w:t>We provide a work management platform that enables individuals and teams to get work done faster while improving employee engagement by allowing everyone to see how their work—whether it is a task, process, project, or portfolio of projects—connects to the broader mission of an organization.</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With Asana:</w:t>
      </w:r>
    </w:p>
    <w:p>
      <w:pPr>
        <w:spacing w:after="0" w:line="131" w:lineRule="exact"/>
        <w:rPr>
          <w:sz w:val="20"/>
          <w:szCs w:val="20"/>
          <w:color w:val="auto"/>
        </w:rPr>
      </w:pPr>
    </w:p>
    <w:p>
      <w:pPr>
        <w:ind w:left="1160" w:right="40" w:hanging="534"/>
        <w:spacing w:after="0" w:line="263"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Individuals </w:t>
      </w:r>
      <w:r>
        <w:rPr>
          <w:rFonts w:ascii="Arial" w:cs="Arial" w:eastAsia="Arial" w:hAnsi="Arial"/>
          <w:sz w:val="18"/>
          <w:szCs w:val="18"/>
          <w:color w:val="auto"/>
        </w:rPr>
        <w:t>can manage and prioritize across each of their projects to maximize their effectiveness and reduce distractions. They can see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own tasks, how their dependencies owned by teammates are tracking, and how their work contributes to the overall team and organization-wide goals.</w:t>
      </w:r>
    </w:p>
    <w:p>
      <w:pPr>
        <w:spacing w:after="0" w:line="89" w:lineRule="exact"/>
        <w:rPr>
          <w:rFonts w:ascii="Arial" w:cs="Arial" w:eastAsia="Arial" w:hAnsi="Arial"/>
          <w:sz w:val="18"/>
          <w:szCs w:val="18"/>
          <w:color w:val="auto"/>
        </w:rPr>
      </w:pPr>
    </w:p>
    <w:p>
      <w:pPr>
        <w:ind w:left="1160" w:right="280" w:hanging="534"/>
        <w:spacing w:after="0" w:line="311" w:lineRule="auto"/>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Teams </w:t>
      </w:r>
      <w:r>
        <w:rPr>
          <w:rFonts w:ascii="Arial" w:cs="Arial" w:eastAsia="Arial" w:hAnsi="Arial"/>
          <w:sz w:val="16"/>
          <w:szCs w:val="16"/>
          <w:color w:val="auto"/>
        </w:rPr>
        <w:t>can collaborate on a project with visibility into each team member’s responsibilities and progress. Team members can assign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tasks, map out steps to completion, define requirements and dependencies, and track progress against due dates. When teammates are operating off a single, real-time plan of record, they do not need to ping each other for updates or sit through status meetings.</w:t>
      </w:r>
    </w:p>
    <w:p>
      <w:pPr>
        <w:spacing w:after="0" w:line="54" w:lineRule="exact"/>
        <w:rPr>
          <w:rFonts w:ascii="Arial" w:cs="Arial" w:eastAsia="Arial" w:hAnsi="Arial"/>
          <w:sz w:val="16"/>
          <w:szCs w:val="16"/>
          <w:color w:val="auto"/>
        </w:rPr>
      </w:pPr>
    </w:p>
    <w:p>
      <w:pPr>
        <w:ind w:left="1160" w:right="80" w:hanging="534"/>
        <w:spacing w:after="0" w:line="263"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Team leads </w:t>
      </w:r>
      <w:r>
        <w:rPr>
          <w:rFonts w:ascii="Arial" w:cs="Arial" w:eastAsia="Arial" w:hAnsi="Arial"/>
          <w:sz w:val="18"/>
          <w:szCs w:val="18"/>
          <w:color w:val="auto"/>
        </w:rPr>
        <w:t>can manage work across a portfolio of projects or processes. Team leads see progress, bottlenecks, resource constraints,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milestones without having to create work about work for teams to come up with this information in spreadsheets, email, or via a status meeting.</w:t>
      </w:r>
    </w:p>
    <w:p>
      <w:pPr>
        <w:spacing w:after="0" w:line="89" w:lineRule="exact"/>
        <w:rPr>
          <w:rFonts w:ascii="Arial" w:cs="Arial" w:eastAsia="Arial" w:hAnsi="Arial"/>
          <w:sz w:val="18"/>
          <w:szCs w:val="18"/>
          <w:color w:val="auto"/>
        </w:rPr>
      </w:pPr>
    </w:p>
    <w:p>
      <w:pPr>
        <w:ind w:left="1160" w:right="220" w:hanging="534"/>
        <w:spacing w:after="0" w:line="263"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Executives </w:t>
      </w:r>
      <w:r>
        <w:rPr>
          <w:rFonts w:ascii="Arial" w:cs="Arial" w:eastAsia="Arial" w:hAnsi="Arial"/>
          <w:sz w:val="18"/>
          <w:szCs w:val="18"/>
          <w:color w:val="auto"/>
        </w:rPr>
        <w:t>can oversee work across projects to gain real-time insights into which initiatives are on track or at risk. With this visibility,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they can proactively address inefficiencies, manage team workload, and reallocate work among teams or departments so that the company can stay on track to achieve its objectives.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9"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4592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64592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60" w:firstLine="434"/>
        <w:spacing w:after="0" w:line="257" w:lineRule="auto"/>
        <w:rPr>
          <w:sz w:val="20"/>
          <w:szCs w:val="20"/>
          <w:color w:val="auto"/>
        </w:rPr>
      </w:pPr>
      <w:r>
        <w:rPr>
          <w:rFonts w:ascii="Arial" w:cs="Arial" w:eastAsia="Arial" w:hAnsi="Arial"/>
          <w:sz w:val="18"/>
          <w:szCs w:val="18"/>
          <w:color w:val="auto"/>
        </w:rPr>
        <w:t>As the system of record of past, current, and future work, Asana is powered by a proprietary, multi-dimensional data model called the work graph. The work graph captures and associates units of work (tasks, projects, milestones, and portfolios), the people responsible for executing those units of work, the processes in which work gets done (rules and templates), information about that work (files, comments, status, and metadata), and the relationships across and within this data. The work graph provides individuals, team leads, and executives with dynamic, up-to-date views into the work that is most relevant to them, across multiple people and projects.</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core tenet of our platform is to bring clarity, transparency, and accountability to the process of getting work done.</w:t>
      </w:r>
    </w:p>
    <w:p>
      <w:pPr>
        <w:spacing w:after="0" w:line="225" w:lineRule="exact"/>
        <w:rPr>
          <w:sz w:val="20"/>
          <w:szCs w:val="20"/>
          <w:color w:val="auto"/>
        </w:rPr>
      </w:pPr>
    </w:p>
    <w:p>
      <w:pPr>
        <w:ind w:left="200" w:right="40" w:firstLine="434"/>
        <w:spacing w:after="0" w:line="263" w:lineRule="auto"/>
        <w:rPr>
          <w:sz w:val="20"/>
          <w:szCs w:val="20"/>
          <w:color w:val="auto"/>
        </w:rPr>
      </w:pPr>
      <w:r>
        <w:rPr>
          <w:rFonts w:ascii="Arial" w:cs="Arial" w:eastAsia="Arial" w:hAnsi="Arial"/>
          <w:sz w:val="18"/>
          <w:szCs w:val="18"/>
          <w:b w:val="1"/>
          <w:bCs w:val="1"/>
          <w:i w:val="1"/>
          <w:iCs w:val="1"/>
          <w:color w:val="auto"/>
        </w:rPr>
        <w:t xml:space="preserve">Clarity. </w:t>
      </w:r>
      <w:r>
        <w:rPr>
          <w:rFonts w:ascii="Arial" w:cs="Arial" w:eastAsia="Arial" w:hAnsi="Arial"/>
          <w:sz w:val="18"/>
          <w:szCs w:val="18"/>
          <w:color w:val="auto"/>
        </w:rPr>
        <w:t>Our platform adds structure to unstructured work so everyone on a team has clarity into exactly what needs to be done, by whom and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Our multi-dimensional data model provides different views so individuals can not only see the tasks they are working on, but also understand how their individual work contributes to a broader project goal.</w:t>
      </w:r>
    </w:p>
    <w:p>
      <w:pPr>
        <w:spacing w:after="0" w:line="184" w:lineRule="exact"/>
        <w:rPr>
          <w:sz w:val="20"/>
          <w:szCs w:val="20"/>
          <w:color w:val="auto"/>
        </w:rPr>
      </w:pPr>
    </w:p>
    <w:p>
      <w:pPr>
        <w:ind w:left="200" w:right="580" w:firstLine="434"/>
        <w:spacing w:after="0" w:line="308" w:lineRule="auto"/>
        <w:rPr>
          <w:sz w:val="20"/>
          <w:szCs w:val="20"/>
          <w:color w:val="auto"/>
        </w:rPr>
      </w:pPr>
      <w:r>
        <w:rPr>
          <w:rFonts w:ascii="Arial" w:cs="Arial" w:eastAsia="Arial" w:hAnsi="Arial"/>
          <w:sz w:val="17"/>
          <w:szCs w:val="17"/>
          <w:b w:val="1"/>
          <w:bCs w:val="1"/>
          <w:i w:val="1"/>
          <w:iCs w:val="1"/>
          <w:color w:val="auto"/>
        </w:rPr>
        <w:t xml:space="preserve">Transparency. </w:t>
      </w:r>
      <w:r>
        <w:rPr>
          <w:rFonts w:ascii="Arial" w:cs="Arial" w:eastAsia="Arial" w:hAnsi="Arial"/>
          <w:sz w:val="17"/>
          <w:szCs w:val="17"/>
          <w:color w:val="auto"/>
        </w:rPr>
        <w:t>Our platform provides transparency into the work being done across a project or portfolio of projects so everyone can see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progress to completion, manage deadlines, identify and resolve bottlenecks, and rebalance workloads in real time.</w:t>
      </w:r>
    </w:p>
    <w:p>
      <w:pPr>
        <w:spacing w:after="0" w:line="146" w:lineRule="exact"/>
        <w:rPr>
          <w:sz w:val="20"/>
          <w:szCs w:val="20"/>
          <w:color w:val="auto"/>
        </w:rPr>
      </w:pPr>
    </w:p>
    <w:p>
      <w:pPr>
        <w:ind w:left="200" w:right="180" w:firstLine="434"/>
        <w:spacing w:after="0" w:line="277" w:lineRule="auto"/>
        <w:rPr>
          <w:sz w:val="20"/>
          <w:szCs w:val="20"/>
          <w:color w:val="auto"/>
        </w:rPr>
      </w:pPr>
      <w:r>
        <w:rPr>
          <w:rFonts w:ascii="Arial" w:cs="Arial" w:eastAsia="Arial" w:hAnsi="Arial"/>
          <w:sz w:val="18"/>
          <w:szCs w:val="18"/>
          <w:b w:val="1"/>
          <w:bCs w:val="1"/>
          <w:i w:val="1"/>
          <w:iCs w:val="1"/>
          <w:color w:val="auto"/>
        </w:rPr>
        <w:t xml:space="preserve">Accountability. </w:t>
      </w:r>
      <w:r>
        <w:rPr>
          <w:rFonts w:ascii="Arial" w:cs="Arial" w:eastAsia="Arial" w:hAnsi="Arial"/>
          <w:sz w:val="18"/>
          <w:szCs w:val="18"/>
          <w:color w:val="auto"/>
        </w:rPr>
        <w:t>Our platform enables teams to assign work to individuals with completion dates and requirements, eliminating ambiguity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responsibilities. Individuals can track their action items across projects and manage their time more effectively.</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Benefits of Our Solution</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platform provides the following benefits for our customers:</w:t>
      </w:r>
    </w:p>
    <w:p>
      <w:pPr>
        <w:spacing w:after="0" w:line="333"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Teams get work done faster</w:t>
      </w:r>
    </w:p>
    <w:p>
      <w:pPr>
        <w:spacing w:after="0" w:line="117" w:lineRule="exact"/>
        <w:rPr>
          <w:sz w:val="20"/>
          <w:szCs w:val="20"/>
          <w:color w:val="auto"/>
        </w:rPr>
      </w:pPr>
    </w:p>
    <w:p>
      <w:pPr>
        <w:ind w:left="200" w:right="200" w:firstLine="434"/>
        <w:spacing w:after="0" w:line="263" w:lineRule="auto"/>
        <w:rPr>
          <w:sz w:val="20"/>
          <w:szCs w:val="20"/>
          <w:color w:val="auto"/>
        </w:rPr>
      </w:pPr>
      <w:r>
        <w:rPr>
          <w:rFonts w:ascii="Arial" w:cs="Arial" w:eastAsia="Arial" w:hAnsi="Arial"/>
          <w:sz w:val="18"/>
          <w:szCs w:val="18"/>
          <w:color w:val="auto"/>
        </w:rPr>
        <w:t>Teams get work done faster using Asana. When structure is added to work, creating greater clarity, transparency, and accountability, teams are able to take action and be more efficient. By adopting our platform, our customers experience increased productivity, reduced costs for dedicated project management, and reduced costs from project delays.</w:t>
      </w:r>
    </w:p>
    <w:p>
      <w:pPr>
        <w:spacing w:after="0" w:line="29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Streamlined processes</w:t>
      </w:r>
    </w:p>
    <w:p>
      <w:pPr>
        <w:spacing w:after="0" w:line="117" w:lineRule="exact"/>
        <w:rPr>
          <w:sz w:val="20"/>
          <w:szCs w:val="20"/>
          <w:color w:val="auto"/>
        </w:rPr>
      </w:pPr>
    </w:p>
    <w:p>
      <w:pPr>
        <w:ind w:left="200" w:firstLine="434"/>
        <w:spacing w:after="0" w:line="279" w:lineRule="auto"/>
        <w:rPr>
          <w:sz w:val="20"/>
          <w:szCs w:val="20"/>
          <w:color w:val="auto"/>
        </w:rPr>
      </w:pPr>
      <w:r>
        <w:rPr>
          <w:rFonts w:ascii="Arial" w:cs="Arial" w:eastAsia="Arial" w:hAnsi="Arial"/>
          <w:sz w:val="17"/>
          <w:szCs w:val="17"/>
          <w:color w:val="auto"/>
        </w:rPr>
        <w:t>Our horizontal application allows individuals to easily customize projects across a breadth of specific use cases. Once a process is defined, it can be templatized and scaled across an organization for consistent, repeatable process management. In October 2019, we launched Rules as part of our suite of automation features, which facilitates auto-assignment, triggers actions and notifications, and automatically populates due dates for templated projects. In the first 60 days of launching Rules, we automated over two million steps for our users.</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Increased employee engagement</w:t>
      </w:r>
    </w:p>
    <w:p>
      <w:pPr>
        <w:spacing w:after="0" w:line="117" w:lineRule="exact"/>
        <w:rPr>
          <w:sz w:val="20"/>
          <w:szCs w:val="20"/>
          <w:color w:val="auto"/>
        </w:rPr>
      </w:pPr>
    </w:p>
    <w:p>
      <w:pPr>
        <w:ind w:left="200" w:right="40" w:firstLine="434"/>
        <w:spacing w:after="0" w:line="263" w:lineRule="auto"/>
        <w:rPr>
          <w:sz w:val="20"/>
          <w:szCs w:val="20"/>
          <w:color w:val="auto"/>
        </w:rPr>
      </w:pPr>
      <w:r>
        <w:rPr>
          <w:rFonts w:ascii="Arial" w:cs="Arial" w:eastAsia="Arial" w:hAnsi="Arial"/>
          <w:sz w:val="18"/>
          <w:szCs w:val="18"/>
          <w:color w:val="auto"/>
        </w:rPr>
        <w:t>Our users love Asana because they gain clarity into what they need to do and how their contribution is connected to broader organizational goals. By eliminating much of the work about work, we give them back valuable hours in their day leading to higher productivity, higher engagement, and improved retention.</w:t>
      </w:r>
    </w:p>
    <w:p>
      <w:pPr>
        <w:spacing w:after="0" w:line="292"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Improved confidence and execution</w:t>
      </w:r>
    </w:p>
    <w:p>
      <w:pPr>
        <w:spacing w:after="0" w:line="117" w:lineRule="exact"/>
        <w:rPr>
          <w:sz w:val="20"/>
          <w:szCs w:val="20"/>
          <w:color w:val="auto"/>
        </w:rPr>
      </w:pPr>
    </w:p>
    <w:p>
      <w:pPr>
        <w:ind w:left="200" w:right="80" w:firstLine="434"/>
        <w:spacing w:after="0" w:line="277" w:lineRule="auto"/>
        <w:rPr>
          <w:sz w:val="20"/>
          <w:szCs w:val="20"/>
          <w:color w:val="auto"/>
        </w:rPr>
      </w:pPr>
      <w:r>
        <w:rPr>
          <w:rFonts w:ascii="Arial" w:cs="Arial" w:eastAsia="Arial" w:hAnsi="Arial"/>
          <w:sz w:val="18"/>
          <w:szCs w:val="18"/>
          <w:color w:val="auto"/>
        </w:rPr>
        <w:t>Using Asana, individuals reduce their anxiety about missing deadlines and having work fall through the cracks. As a system of record for work, Asana stores all task and project information on past and present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32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004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60045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initiatives so people have greater confidence in meeting deliverables. Individuals, team leads, and executives gain real-time visibility into all the work that is happening in their organization, enabling them to feel organized and in control.</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200" w:right="60" w:firstLine="434"/>
        <w:spacing w:after="0" w:line="279" w:lineRule="auto"/>
        <w:rPr>
          <w:sz w:val="20"/>
          <w:szCs w:val="20"/>
          <w:color w:val="auto"/>
        </w:rPr>
      </w:pPr>
      <w:r>
        <w:rPr>
          <w:rFonts w:ascii="Arial" w:cs="Arial" w:eastAsia="Arial" w:hAnsi="Arial"/>
          <w:sz w:val="17"/>
          <w:szCs w:val="17"/>
          <w:b w:val="1"/>
          <w:bCs w:val="1"/>
          <w:i w:val="1"/>
          <w:iCs w:val="1"/>
          <w:color w:val="auto"/>
        </w:rPr>
        <w:t xml:space="preserve">Easy for an entire team to adopt. </w:t>
      </w:r>
      <w:r>
        <w:rPr>
          <w:rFonts w:ascii="Arial" w:cs="Arial" w:eastAsia="Arial" w:hAnsi="Arial"/>
          <w:sz w:val="17"/>
          <w:szCs w:val="17"/>
          <w:color w:val="auto"/>
        </w:rPr>
        <w:t>We designed our platform to be easy to adopt and transition away from legacy project management tools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without friction. For example, new users can import existing workflows from spreadsheets into Asana in a few clicks. We provide an intuitive interface—incorporating common language navigation, flexible views, and easy point-and-click and drag-and-drop functionalities—that allows users, across any role or level of technical proficiency, to easily set up and navigate a process or project.</w:t>
      </w:r>
    </w:p>
    <w:p>
      <w:pPr>
        <w:spacing w:after="0" w:line="171" w:lineRule="exact"/>
        <w:rPr>
          <w:sz w:val="20"/>
          <w:szCs w:val="20"/>
          <w:color w:val="auto"/>
        </w:rPr>
      </w:pPr>
    </w:p>
    <w:p>
      <w:pPr>
        <w:ind w:left="200" w:right="240" w:firstLine="434"/>
        <w:spacing w:after="0" w:line="342" w:lineRule="auto"/>
        <w:rPr>
          <w:sz w:val="20"/>
          <w:szCs w:val="20"/>
          <w:color w:val="auto"/>
        </w:rPr>
      </w:pPr>
      <w:r>
        <w:rPr>
          <w:rFonts w:ascii="Arial" w:cs="Arial" w:eastAsia="Arial" w:hAnsi="Arial"/>
          <w:sz w:val="16"/>
          <w:szCs w:val="16"/>
          <w:b w:val="1"/>
          <w:bCs w:val="1"/>
          <w:i w:val="1"/>
          <w:iCs w:val="1"/>
          <w:color w:val="auto"/>
        </w:rPr>
        <w:t xml:space="preserve">Applicable to individuals, team leads, and executives. </w:t>
      </w:r>
      <w:r>
        <w:rPr>
          <w:rFonts w:ascii="Arial" w:cs="Arial" w:eastAsia="Arial" w:hAnsi="Arial"/>
          <w:sz w:val="16"/>
          <w:szCs w:val="16"/>
          <w:color w:val="auto"/>
        </w:rPr>
        <w:t>Our multi-dimensional data model allows individuals, team leads, and executives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work the way they want, in the interface that is most applicable to them. Users realize different benefits from our platform, depending on their role:</w:t>
      </w:r>
    </w:p>
    <w:p>
      <w:pPr>
        <w:spacing w:after="0" w:line="29" w:lineRule="exact"/>
        <w:rPr>
          <w:sz w:val="20"/>
          <w:szCs w:val="20"/>
          <w:color w:val="auto"/>
        </w:rPr>
      </w:pPr>
    </w:p>
    <w:p>
      <w:pPr>
        <w:ind w:left="1160" w:hanging="534"/>
        <w:spacing w:after="0"/>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individuals can view a task list to prioritize their work across projects and see how the work they depend on is progressing in real time;</w:t>
      </w:r>
    </w:p>
    <w:p>
      <w:pPr>
        <w:spacing w:after="0" w:line="153" w:lineRule="exact"/>
        <w:rPr>
          <w:rFonts w:ascii="Arial" w:cs="Arial" w:eastAsia="Arial" w:hAnsi="Arial"/>
          <w:sz w:val="16"/>
          <w:szCs w:val="16"/>
          <w:color w:val="auto"/>
        </w:rPr>
      </w:pPr>
    </w:p>
    <w:p>
      <w:pPr>
        <w:ind w:left="1160" w:hanging="53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team leads can view the status of a project to identify dependencies or bottlenecks and manage workloads;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executives can see real-time updates on how their organization is tracking toward strategic objectives.</w:t>
      </w:r>
    </w:p>
    <w:p>
      <w:pPr>
        <w:spacing w:after="0" w:line="225" w:lineRule="exact"/>
        <w:rPr>
          <w:sz w:val="20"/>
          <w:szCs w:val="20"/>
          <w:color w:val="auto"/>
        </w:rPr>
      </w:pPr>
    </w:p>
    <w:p>
      <w:pPr>
        <w:ind w:left="200" w:firstLine="434"/>
        <w:spacing w:after="0" w:line="301" w:lineRule="auto"/>
        <w:rPr>
          <w:sz w:val="20"/>
          <w:szCs w:val="20"/>
          <w:color w:val="auto"/>
        </w:rPr>
      </w:pPr>
      <w:r>
        <w:rPr>
          <w:rFonts w:ascii="Arial" w:cs="Arial" w:eastAsia="Arial" w:hAnsi="Arial"/>
          <w:sz w:val="16"/>
          <w:szCs w:val="16"/>
          <w:b w:val="1"/>
          <w:bCs w:val="1"/>
          <w:i w:val="1"/>
          <w:iCs w:val="1"/>
          <w:color w:val="auto"/>
        </w:rPr>
        <w:t xml:space="preserve">Adaptable to virtually any use case. </w:t>
      </w:r>
      <w:r>
        <w:rPr>
          <w:rFonts w:ascii="Arial" w:cs="Arial" w:eastAsia="Arial" w:hAnsi="Arial"/>
          <w:sz w:val="16"/>
          <w:szCs w:val="16"/>
          <w:color w:val="auto"/>
        </w:rPr>
        <w:t>Asana is applicable to thousands of use cases, across many departments and industries. Customers typically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 Asana initially for a specific need within a department. Teams can then extend their usage to new use cases and departments as a result of collaborating on cross-functional projects. Organizations can also use Asana for organization-wide processes such as new employee onboarding, goal setting, and meeting agendas, which can lead to rapid expansion as employees see their peers using the platform.</w:t>
      </w:r>
    </w:p>
    <w:p>
      <w:pPr>
        <w:spacing w:after="0" w:line="157" w:lineRule="exact"/>
        <w:rPr>
          <w:sz w:val="20"/>
          <w:szCs w:val="20"/>
          <w:color w:val="auto"/>
        </w:rPr>
      </w:pPr>
    </w:p>
    <w:p>
      <w:pPr>
        <w:ind w:left="200" w:right="180" w:firstLine="434"/>
        <w:spacing w:after="0" w:line="259" w:lineRule="auto"/>
        <w:rPr>
          <w:sz w:val="20"/>
          <w:szCs w:val="20"/>
          <w:color w:val="auto"/>
        </w:rPr>
      </w:pPr>
      <w:r>
        <w:rPr>
          <w:rFonts w:ascii="Arial" w:cs="Arial" w:eastAsia="Arial" w:hAnsi="Arial"/>
          <w:sz w:val="18"/>
          <w:szCs w:val="18"/>
          <w:b w:val="1"/>
          <w:bCs w:val="1"/>
          <w:i w:val="1"/>
          <w:iCs w:val="1"/>
          <w:color w:val="auto"/>
        </w:rPr>
        <w:t xml:space="preserve">Loved by customers. </w:t>
      </w:r>
      <w:r>
        <w:rPr>
          <w:rFonts w:ascii="Arial" w:cs="Arial" w:eastAsia="Arial" w:hAnsi="Arial"/>
          <w:sz w:val="18"/>
          <w:szCs w:val="18"/>
          <w:color w:val="auto"/>
        </w:rPr>
        <w:t>We have fostered a vibrant global user community that is passionate about using Asana to orchestrate their work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active in our Asana Together programs, which include our online forum, Asana Ambassadors, and Asana Certified Pros. We believe we have high levels of customer satisfaction, and our large, loyal customer base often shares their experiences, helping us acquire new customers through word of mouth.</w:t>
      </w:r>
    </w:p>
    <w:p>
      <w:pPr>
        <w:spacing w:after="0" w:line="187" w:lineRule="exact"/>
        <w:rPr>
          <w:sz w:val="20"/>
          <w:szCs w:val="20"/>
          <w:color w:val="auto"/>
        </w:rPr>
      </w:pPr>
    </w:p>
    <w:p>
      <w:pPr>
        <w:ind w:left="200" w:right="200" w:firstLine="434"/>
        <w:spacing w:after="0" w:line="255" w:lineRule="auto"/>
        <w:rPr>
          <w:sz w:val="20"/>
          <w:szCs w:val="20"/>
          <w:color w:val="auto"/>
        </w:rPr>
      </w:pPr>
      <w:r>
        <w:rPr>
          <w:rFonts w:ascii="Arial" w:cs="Arial" w:eastAsia="Arial" w:hAnsi="Arial"/>
          <w:sz w:val="18"/>
          <w:szCs w:val="18"/>
          <w:b w:val="1"/>
          <w:bCs w:val="1"/>
          <w:i w:val="1"/>
          <w:iCs w:val="1"/>
          <w:color w:val="auto"/>
        </w:rPr>
        <w:t xml:space="preserve">Efficient hybrid go-to-market model. </w:t>
      </w:r>
      <w:r>
        <w:rPr>
          <w:rFonts w:ascii="Arial" w:cs="Arial" w:eastAsia="Arial" w:hAnsi="Arial"/>
          <w:sz w:val="18"/>
          <w:szCs w:val="18"/>
          <w:color w:val="auto"/>
        </w:rPr>
        <w:t>Our hybrid self-service and direct sales model allows us to efficiently reach teams everywhere and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rapidly expand within our customer base. A majority of our paying customers initially adopt our platform through self-service and free trials. Individuals can try our products using a limited functionality free version or a free trial of one of our paid subscription plans for a limited period of time, allowing us to reach a broad user base with a limited sales presence. Our free-to-paid conversion rate of registered users, as measured by the number of paid users divided by the total number of then-registered users, has increased from 3.6% as of January 31, 2018 to over 4.8% as of January 31, 2020.</w:t>
      </w:r>
    </w:p>
    <w:p>
      <w:pPr>
        <w:spacing w:after="0" w:line="192" w:lineRule="exact"/>
        <w:rPr>
          <w:sz w:val="20"/>
          <w:szCs w:val="20"/>
          <w:color w:val="auto"/>
        </w:rPr>
      </w:pPr>
    </w:p>
    <w:p>
      <w:pPr>
        <w:ind w:left="200" w:firstLine="434"/>
        <w:spacing w:after="0" w:line="259" w:lineRule="auto"/>
        <w:rPr>
          <w:sz w:val="20"/>
          <w:szCs w:val="20"/>
          <w:color w:val="auto"/>
        </w:rPr>
      </w:pPr>
      <w:r>
        <w:rPr>
          <w:rFonts w:ascii="Arial" w:cs="Arial" w:eastAsia="Arial" w:hAnsi="Arial"/>
          <w:sz w:val="18"/>
          <w:szCs w:val="18"/>
          <w:b w:val="1"/>
          <w:bCs w:val="1"/>
          <w:i w:val="1"/>
          <w:iCs w:val="1"/>
          <w:color w:val="auto"/>
        </w:rPr>
        <w:t xml:space="preserve">High performance. </w:t>
      </w:r>
      <w:r>
        <w:rPr>
          <w:rFonts w:ascii="Arial" w:cs="Arial" w:eastAsia="Arial" w:hAnsi="Arial"/>
          <w:sz w:val="18"/>
          <w:szCs w:val="18"/>
          <w:color w:val="auto"/>
        </w:rPr>
        <w:t>We have architected our platform to be easy to use, extremely fast, and powerful. We have a modern architecture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intellectual property that enables flexible and fast queries. All user data is maintained in our cloud-native platform and changes are immediately synchronized to allow real-time collaboration. We have optimized the communication between the client application and servers to create a responsive experience with low latency and network utilization.</w:t>
      </w:r>
    </w:p>
    <w:p>
      <w:pPr>
        <w:spacing w:after="0" w:line="187" w:lineRule="exact"/>
        <w:rPr>
          <w:sz w:val="20"/>
          <w:szCs w:val="20"/>
          <w:color w:val="auto"/>
        </w:rPr>
      </w:pPr>
    </w:p>
    <w:p>
      <w:pPr>
        <w:ind w:left="200" w:right="280" w:firstLine="434"/>
        <w:spacing w:after="0" w:line="277" w:lineRule="auto"/>
        <w:rPr>
          <w:sz w:val="20"/>
          <w:szCs w:val="20"/>
          <w:color w:val="auto"/>
        </w:rPr>
      </w:pPr>
      <w:r>
        <w:rPr>
          <w:rFonts w:ascii="Arial" w:cs="Arial" w:eastAsia="Arial" w:hAnsi="Arial"/>
          <w:sz w:val="18"/>
          <w:szCs w:val="18"/>
          <w:b w:val="1"/>
          <w:bCs w:val="1"/>
          <w:i w:val="1"/>
          <w:iCs w:val="1"/>
          <w:color w:val="auto"/>
        </w:rPr>
        <w:t xml:space="preserve">Strong company culture. </w:t>
      </w:r>
      <w:r>
        <w:rPr>
          <w:rFonts w:ascii="Arial" w:cs="Arial" w:eastAsia="Arial" w:hAnsi="Arial"/>
          <w:sz w:val="18"/>
          <w:szCs w:val="18"/>
          <w:color w:val="auto"/>
        </w:rPr>
        <w:t>Our culture is a critical component of our success. Our commitment to transparency, distributed responsibility,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growth helps us attract and retain top quality talent from</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047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auto"/>
        </w:rPr>
        <w:t>diverse backgrounds. We have seen strong retention rates overall, particularly across our engineering department, where our annual retention is over 90% despite competition for talent. We believe our diverse workforce helps us better understand the needs of our diverse user base and innovate in new and creative ways. We take pride in being recognized as one of the top 10 Best Small &amp; Medium Workplaces for the third year in a row by FORTUNE in 2019. Our strong culture has led to high employee engagement as demonstrated by a survey conducted by Culture Amp, placing us in the top quartile of our peers.</w:t>
      </w:r>
    </w:p>
    <w:p>
      <w:pPr>
        <w:spacing w:after="0" w:line="188" w:lineRule="exact"/>
        <w:rPr>
          <w:sz w:val="20"/>
          <w:szCs w:val="20"/>
          <w:color w:val="auto"/>
        </w:rPr>
      </w:pPr>
    </w:p>
    <w:p>
      <w:pPr>
        <w:ind w:left="200" w:right="280" w:firstLine="434"/>
        <w:spacing w:after="0" w:line="296" w:lineRule="auto"/>
        <w:rPr>
          <w:sz w:val="20"/>
          <w:szCs w:val="20"/>
          <w:color w:val="auto"/>
        </w:rPr>
      </w:pPr>
      <w:r>
        <w:rPr>
          <w:rFonts w:ascii="Arial" w:cs="Arial" w:eastAsia="Arial" w:hAnsi="Arial"/>
          <w:sz w:val="16"/>
          <w:szCs w:val="16"/>
          <w:b w:val="1"/>
          <w:bCs w:val="1"/>
          <w:i w:val="1"/>
          <w:iCs w:val="1"/>
          <w:color w:val="auto"/>
        </w:rPr>
        <w:t xml:space="preserve">Scalable and secure. </w:t>
      </w:r>
      <w:r>
        <w:rPr>
          <w:rFonts w:ascii="Arial" w:cs="Arial" w:eastAsia="Arial" w:hAnsi="Arial"/>
          <w:sz w:val="16"/>
          <w:szCs w:val="16"/>
          <w:color w:val="auto"/>
        </w:rPr>
        <w:t>We have built our platform using best practices, leveraging tooling and automation to enable rapid feature deployment,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frequent code releases to production, and horizontal-scaling across our servers and data storage to easily add capacity and scale. We have demonstrated reliability with over 99.9% average up-time during fiscal 2020. We have built security checks and mechanisms into all parts of our technology stack and embraced security practices, like a public bug bounty program and third-party penetration testing. We are SOC 2 Type II compliant and have implemented robust safeguards to protect the security of data uploaded to and shared within our platform.</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200" w:right="60" w:firstLine="434"/>
        <w:spacing w:after="0" w:line="342" w:lineRule="auto"/>
        <w:rPr>
          <w:sz w:val="20"/>
          <w:szCs w:val="20"/>
          <w:color w:val="auto"/>
        </w:rPr>
      </w:pPr>
      <w:r>
        <w:rPr>
          <w:rFonts w:ascii="Arial" w:cs="Arial" w:eastAsia="Arial" w:hAnsi="Arial"/>
          <w:sz w:val="16"/>
          <w:szCs w:val="16"/>
          <w:color w:val="auto"/>
        </w:rPr>
        <w:t>The work management market that we address is large and rapidly growing. According to a June 2019 IDC report, the markets for collaborative applications and project and portfolio management, in aggregate, are expected to grow from $23 billion in 2020 to $32 billion in 2023.</w:t>
      </w:r>
    </w:p>
    <w:p>
      <w:pPr>
        <w:spacing w:after="0" w:line="124" w:lineRule="exact"/>
        <w:rPr>
          <w:sz w:val="20"/>
          <w:szCs w:val="20"/>
          <w:color w:val="auto"/>
        </w:rPr>
      </w:pPr>
    </w:p>
    <w:p>
      <w:pPr>
        <w:ind w:left="200" w:right="160" w:firstLine="434"/>
        <w:spacing w:after="0" w:line="311" w:lineRule="auto"/>
        <w:rPr>
          <w:sz w:val="20"/>
          <w:szCs w:val="20"/>
          <w:color w:val="auto"/>
        </w:rPr>
      </w:pPr>
      <w:r>
        <w:rPr>
          <w:rFonts w:ascii="Arial" w:cs="Arial" w:eastAsia="Arial" w:hAnsi="Arial"/>
          <w:sz w:val="16"/>
          <w:szCs w:val="16"/>
          <w:color w:val="auto"/>
        </w:rPr>
        <w:t>We believe we have the opportunity to address the 1.25 billion global information workers, estimated by a September 2019 report by Forrester Research, Inc., or Forrester. We believe we are less than 3% penetrated among addressable employees in our existing customer base, indicating a significant whitespace opportunity. Additionally, we believe we have significant greenfield opportunities among addressable customers worldwide.</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200" w:right="260" w:firstLine="434"/>
        <w:spacing w:after="0" w:line="277" w:lineRule="auto"/>
        <w:rPr>
          <w:sz w:val="20"/>
          <w:szCs w:val="20"/>
          <w:color w:val="auto"/>
        </w:rPr>
      </w:pPr>
      <w:r>
        <w:rPr>
          <w:rFonts w:ascii="Arial" w:cs="Arial" w:eastAsia="Arial" w:hAnsi="Arial"/>
          <w:sz w:val="18"/>
          <w:szCs w:val="18"/>
          <w:color w:val="auto"/>
        </w:rPr>
        <w:t>We have driven rapid adoption of our platform and intend to continue to promote our platform and its adoption through the following growth strategies:</w:t>
      </w:r>
    </w:p>
    <w:p>
      <w:pPr>
        <w:spacing w:after="0" w:line="166" w:lineRule="exact"/>
        <w:rPr>
          <w:sz w:val="20"/>
          <w:szCs w:val="20"/>
          <w:color w:val="auto"/>
        </w:rPr>
      </w:pPr>
    </w:p>
    <w:p>
      <w:pPr>
        <w:ind w:left="200" w:right="200" w:firstLine="434"/>
        <w:spacing w:after="0" w:line="261" w:lineRule="auto"/>
        <w:rPr>
          <w:sz w:val="20"/>
          <w:szCs w:val="20"/>
          <w:color w:val="auto"/>
        </w:rPr>
      </w:pPr>
      <w:r>
        <w:rPr>
          <w:rFonts w:ascii="Arial" w:cs="Arial" w:eastAsia="Arial" w:hAnsi="Arial"/>
          <w:sz w:val="18"/>
          <w:szCs w:val="18"/>
          <w:b w:val="1"/>
          <w:bCs w:val="1"/>
          <w:i w:val="1"/>
          <w:iCs w:val="1"/>
          <w:color w:val="auto"/>
        </w:rPr>
        <w:t>Add more customers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over 75,000 paying customers as of January 31, 2020 and over 3.2 million free activated accounts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inception, representing a large opportunity to convert these accounts into paying customers. An activated account represents an organization or individual that has collaborated with another user. We also plan to acquire new customers through word of mouth, marketing activities, self-service, and direct sales efforts.</w:t>
      </w:r>
    </w:p>
    <w:p>
      <w:pPr>
        <w:spacing w:after="0" w:line="180" w:lineRule="exact"/>
        <w:rPr>
          <w:sz w:val="20"/>
          <w:szCs w:val="20"/>
          <w:color w:val="auto"/>
        </w:rPr>
      </w:pPr>
    </w:p>
    <w:p>
      <w:pPr>
        <w:ind w:left="200" w:right="160" w:firstLine="434"/>
        <w:spacing w:after="0" w:line="261" w:lineRule="auto"/>
        <w:rPr>
          <w:sz w:val="20"/>
          <w:szCs w:val="20"/>
          <w:color w:val="auto"/>
        </w:rPr>
      </w:pPr>
      <w:r>
        <w:rPr>
          <w:rFonts w:ascii="Arial" w:cs="Arial" w:eastAsia="Arial" w:hAnsi="Arial"/>
          <w:sz w:val="18"/>
          <w:szCs w:val="18"/>
          <w:b w:val="1"/>
          <w:bCs w:val="1"/>
          <w:i w:val="1"/>
          <w:iCs w:val="1"/>
          <w:color w:val="auto"/>
        </w:rPr>
        <w:t>Expand within our existing customer base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typically adopt Asana for a specific use case within a department and then expand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use cases across departments and, in some instances, across an entire organization. To address the significant whitespace opportunity within our existing customer base, we are growing our direct sales team, which has nearly doubled in size since January 31, 2019, to promote department-specific and organization-wide use cases.</w:t>
      </w:r>
    </w:p>
    <w:p>
      <w:pPr>
        <w:spacing w:after="0" w:line="184" w:lineRule="exact"/>
        <w:rPr>
          <w:sz w:val="20"/>
          <w:szCs w:val="20"/>
          <w:color w:val="auto"/>
        </w:rPr>
      </w:pPr>
    </w:p>
    <w:p>
      <w:pPr>
        <w:ind w:left="200" w:firstLine="434"/>
        <w:spacing w:after="0" w:line="263" w:lineRule="auto"/>
        <w:rPr>
          <w:sz w:val="20"/>
          <w:szCs w:val="20"/>
          <w:color w:val="auto"/>
        </w:rPr>
      </w:pPr>
      <w:r>
        <w:rPr>
          <w:rFonts w:ascii="Arial" w:cs="Arial" w:eastAsia="Arial" w:hAnsi="Arial"/>
          <w:sz w:val="18"/>
          <w:szCs w:val="18"/>
          <w:b w:val="1"/>
          <w:bCs w:val="1"/>
          <w:i w:val="1"/>
          <w:iCs w:val="1"/>
          <w:color w:val="auto"/>
        </w:rPr>
        <w:t xml:space="preserve">Continue to innovate. </w:t>
      </w:r>
      <w:r>
        <w:rPr>
          <w:rFonts w:ascii="Arial" w:cs="Arial" w:eastAsia="Arial" w:hAnsi="Arial"/>
          <w:sz w:val="18"/>
          <w:szCs w:val="18"/>
          <w:color w:val="auto"/>
        </w:rPr>
        <w:t>Product innovation is critical to maintaining our success as a leader in work management. We will continue to expand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offerings and enhance the features and functionality of our platform. Since January 31, 2019, we have grown our engineering team by over 80% to drive product innovation.</w:t>
      </w:r>
    </w:p>
    <w:p>
      <w:pPr>
        <w:spacing w:after="0" w:line="184" w:lineRule="exact"/>
        <w:rPr>
          <w:sz w:val="20"/>
          <w:szCs w:val="20"/>
          <w:color w:val="auto"/>
        </w:rPr>
      </w:pPr>
    </w:p>
    <w:p>
      <w:pPr>
        <w:ind w:left="200" w:right="280" w:firstLine="434"/>
        <w:spacing w:after="0" w:line="277" w:lineRule="auto"/>
        <w:rPr>
          <w:sz w:val="20"/>
          <w:szCs w:val="20"/>
          <w:color w:val="auto"/>
        </w:rPr>
      </w:pPr>
      <w:r>
        <w:rPr>
          <w:rFonts w:ascii="Arial" w:cs="Arial" w:eastAsia="Arial" w:hAnsi="Arial"/>
          <w:sz w:val="18"/>
          <w:szCs w:val="18"/>
          <w:b w:val="1"/>
          <w:bCs w:val="1"/>
          <w:i w:val="1"/>
          <w:iCs w:val="1"/>
          <w:color w:val="auto"/>
        </w:rPr>
        <w:t xml:space="preserve">Keep building a high value brand. </w:t>
      </w:r>
      <w:r>
        <w:rPr>
          <w:rFonts w:ascii="Arial" w:cs="Arial" w:eastAsia="Arial" w:hAnsi="Arial"/>
          <w:sz w:val="18"/>
          <w:szCs w:val="18"/>
          <w:color w:val="auto"/>
        </w:rPr>
        <w:t>Our goal is to be the leader in work management—a market still in the early stages of development,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greenfield opportunities for adoption among companies of all sizes. We will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459"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59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200"/>
        <w:spacing w:after="0" w:line="263" w:lineRule="auto"/>
        <w:rPr>
          <w:sz w:val="20"/>
          <w:szCs w:val="20"/>
          <w:color w:val="auto"/>
        </w:rPr>
      </w:pPr>
      <w:r>
        <w:rPr>
          <w:rFonts w:ascii="Arial" w:cs="Arial" w:eastAsia="Arial" w:hAnsi="Arial"/>
          <w:sz w:val="18"/>
          <w:szCs w:val="18"/>
          <w:color w:val="auto"/>
        </w:rPr>
        <w:t>continue to build our brand through customer experience and broader engagement, marketing, and industry and analyst education. In 2018, we were recognized by Forrester as a Leader in Collaborative Work Management Tools for the Enterprise based on a range of criteria, including the highest scores possible in customer satisfaction and pace of innovation criteria.</w:t>
      </w:r>
    </w:p>
    <w:p>
      <w:pPr>
        <w:spacing w:after="0" w:line="184" w:lineRule="exact"/>
        <w:rPr>
          <w:sz w:val="20"/>
          <w:szCs w:val="20"/>
          <w:color w:val="auto"/>
        </w:rPr>
      </w:pPr>
    </w:p>
    <w:p>
      <w:pPr>
        <w:ind w:left="200" w:right="60" w:firstLine="434"/>
        <w:spacing w:after="0" w:line="259" w:lineRule="auto"/>
        <w:rPr>
          <w:sz w:val="20"/>
          <w:szCs w:val="20"/>
          <w:color w:val="auto"/>
        </w:rPr>
      </w:pPr>
      <w:r>
        <w:rPr>
          <w:rFonts w:ascii="Arial" w:cs="Arial" w:eastAsia="Arial" w:hAnsi="Arial"/>
          <w:sz w:val="18"/>
          <w:szCs w:val="18"/>
          <w:b w:val="1"/>
          <w:bCs w:val="1"/>
          <w:i w:val="1"/>
          <w:iCs w:val="1"/>
          <w:color w:val="auto"/>
        </w:rPr>
        <w:t xml:space="preserve">Develop functional workflows. </w:t>
      </w:r>
      <w:r>
        <w:rPr>
          <w:rFonts w:ascii="Arial" w:cs="Arial" w:eastAsia="Arial" w:hAnsi="Arial"/>
          <w:sz w:val="18"/>
          <w:szCs w:val="18"/>
          <w:color w:val="auto"/>
        </w:rPr>
        <w:t>We have seen strong initial adoption in our customer base particularly in marketing, sales, operations,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product management, and design where there are many workstreams requiring cross-functional collaboration. We have developed purpose-built templates and premium functionality that cater to these groups, and will continue to develop specific functional workflows where we see adoption opportunities.</w:t>
      </w:r>
    </w:p>
    <w:p>
      <w:pPr>
        <w:spacing w:after="0" w:line="187" w:lineRule="exact"/>
        <w:rPr>
          <w:sz w:val="20"/>
          <w:szCs w:val="20"/>
          <w:color w:val="auto"/>
        </w:rPr>
      </w:pPr>
    </w:p>
    <w:p>
      <w:pPr>
        <w:ind w:left="200" w:right="120" w:firstLine="434"/>
        <w:spacing w:after="0" w:line="263" w:lineRule="auto"/>
        <w:rPr>
          <w:sz w:val="20"/>
          <w:szCs w:val="20"/>
          <w:color w:val="auto"/>
        </w:rPr>
      </w:pPr>
      <w:r>
        <w:rPr>
          <w:rFonts w:ascii="Arial" w:cs="Arial" w:eastAsia="Arial" w:hAnsi="Arial"/>
          <w:sz w:val="18"/>
          <w:szCs w:val="18"/>
          <w:b w:val="1"/>
          <w:bCs w:val="1"/>
          <w:i w:val="1"/>
          <w:iCs w:val="1"/>
          <w:color w:val="auto"/>
        </w:rPr>
        <w:t xml:space="preserve">Develop organization-wide use cases. </w:t>
      </w:r>
      <w:r>
        <w:rPr>
          <w:rFonts w:ascii="Arial" w:cs="Arial" w:eastAsia="Arial" w:hAnsi="Arial"/>
          <w:sz w:val="18"/>
          <w:szCs w:val="18"/>
          <w:color w:val="auto"/>
        </w:rPr>
        <w:t>Customers use Asana for a number of use cases, from departmental projects to organization-wide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initiatives, including employee goal management, new employee onboarding, one-on-ones, and meeting agendas. Over time, we intend to productize and monetize organization-specific use cases on our platform.</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Investment in our Class A Common Stock</w:t>
      </w:r>
    </w:p>
    <w:p>
      <w:pPr>
        <w:spacing w:after="0" w:line="121" w:lineRule="exact"/>
        <w:rPr>
          <w:sz w:val="20"/>
          <w:szCs w:val="20"/>
          <w:color w:val="auto"/>
        </w:rPr>
      </w:pPr>
    </w:p>
    <w:p>
      <w:pPr>
        <w:ind w:left="200" w:firstLine="434"/>
        <w:spacing w:after="0" w:line="286" w:lineRule="auto"/>
        <w:rPr>
          <w:sz w:val="20"/>
          <w:szCs w:val="20"/>
          <w:color w:val="auto"/>
        </w:rPr>
      </w:pPr>
      <w:r>
        <w:rPr>
          <w:rFonts w:ascii="Arial" w:cs="Arial" w:eastAsia="Arial" w:hAnsi="Arial"/>
          <w:sz w:val="17"/>
          <w:szCs w:val="17"/>
          <w:color w:val="auto"/>
        </w:rPr>
        <w:t>Investing in our Class A common stock involves a high degree of risk. You should carefully consider the risks highlighted in the section titled “Risk Factors” immediately following this prospectus summary before making an investment decision. We may be unable for many reasons, including those that are beyond our control, to implement our business strategy successfully. Some of these risks are:</w:t>
      </w:r>
    </w:p>
    <w:p>
      <w:pPr>
        <w:spacing w:after="0" w:line="71" w:lineRule="exact"/>
        <w:rPr>
          <w:sz w:val="20"/>
          <w:szCs w:val="20"/>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experienced rapid growth in recent periods, and our recent growth rates may not be indicative of our future growth.</w:t>
      </w:r>
    </w:p>
    <w:p>
      <w:pPr>
        <w:spacing w:after="0" w:line="130" w:lineRule="exact"/>
        <w:rPr>
          <w:rFonts w:ascii="Arial" w:cs="Arial" w:eastAsia="Arial" w:hAnsi="Arial"/>
          <w:sz w:val="18"/>
          <w:szCs w:val="18"/>
          <w:color w:val="auto"/>
        </w:rPr>
      </w:pPr>
    </w:p>
    <w:p>
      <w:pPr>
        <w:ind w:left="1160" w:right="220" w:hanging="534"/>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operating history at our current scale, which makes it difficult to evaluate our future prospects and may increase the risk that we will not be successful.</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history of losses, and we may not be able to achieve profitability or, if achieved, sustain profitability.</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quarterly results may fluctuate significantly and may not meet our expectations or those of investors or securities analysts.</w:t>
      </w:r>
    </w:p>
    <w:p>
      <w:pPr>
        <w:spacing w:after="0" w:line="142" w:lineRule="exact"/>
        <w:rPr>
          <w:rFonts w:ascii="Arial" w:cs="Arial" w:eastAsia="Arial" w:hAnsi="Arial"/>
          <w:sz w:val="17"/>
          <w:szCs w:val="17"/>
          <w:color w:val="auto"/>
        </w:rPr>
      </w:pPr>
    </w:p>
    <w:p>
      <w:pPr>
        <w:jc w:val="both"/>
        <w:ind w:left="1160" w:right="320" w:hanging="534"/>
        <w:spacing w:after="0" w:line="263"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89" w:lineRule="exact"/>
        <w:rPr>
          <w:rFonts w:ascii="Arial" w:cs="Arial" w:eastAsia="Arial" w:hAnsi="Arial"/>
          <w:sz w:val="18"/>
          <w:szCs w:val="18"/>
          <w:color w:val="auto"/>
        </w:rPr>
      </w:pPr>
    </w:p>
    <w:p>
      <w:pPr>
        <w:ind w:left="1160" w:right="60" w:hanging="534"/>
        <w:spacing w:after="0" w:line="342"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the market for work management solutions develops more slowly than we expect or declines, our business would be adversely affected, and the estimates of market opportunity and forecasts of market growth included in this prospectus may prove to be inaccurate.</w:t>
      </w:r>
    </w:p>
    <w:p>
      <w:pPr>
        <w:spacing w:after="0" w:line="29" w:lineRule="exact"/>
        <w:rPr>
          <w:rFonts w:ascii="Arial" w:cs="Arial" w:eastAsia="Arial" w:hAnsi="Arial"/>
          <w:sz w:val="16"/>
          <w:szCs w:val="16"/>
          <w:color w:val="auto"/>
        </w:rPr>
      </w:pPr>
    </w:p>
    <w:p>
      <w:pPr>
        <w:ind w:left="1160" w:hanging="534"/>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operate in a highly competitive industry, and competition presents an ongoing threat to the success of our business.</w:t>
      </w:r>
    </w:p>
    <w:p>
      <w:pPr>
        <w:spacing w:after="0" w:line="130" w:lineRule="exact"/>
        <w:rPr>
          <w:rFonts w:ascii="Arial" w:cs="Arial" w:eastAsia="Arial" w:hAnsi="Arial"/>
          <w:sz w:val="18"/>
          <w:szCs w:val="18"/>
          <w:color w:val="auto"/>
        </w:rPr>
      </w:pPr>
    </w:p>
    <w:p>
      <w:pPr>
        <w:ind w:left="1160" w:right="40" w:hanging="534"/>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effectively develop and expand our direct sales capabilities would harm our ability to expand usage of our platform within our customer base and achieve broader market acceptance of our platform.</w:t>
      </w:r>
    </w:p>
    <w:p>
      <w:pPr>
        <w:spacing w:after="0" w:line="75" w:lineRule="exact"/>
        <w:rPr>
          <w:rFonts w:ascii="Arial" w:cs="Arial" w:eastAsia="Arial" w:hAnsi="Arial"/>
          <w:sz w:val="18"/>
          <w:szCs w:val="18"/>
          <w:color w:val="auto"/>
        </w:rPr>
      </w:pPr>
    </w:p>
    <w:p>
      <w:pPr>
        <w:ind w:left="1160" w:right="640" w:hanging="534"/>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one or more of our key personnel, in particular our co-founder, President, Chief Executive Officer, and Chair, Dustin Moskovitz, would harm our business.</w:t>
      </w:r>
    </w:p>
    <w:p>
      <w:pPr>
        <w:spacing w:after="0" w:line="75" w:lineRule="exact"/>
        <w:rPr>
          <w:rFonts w:ascii="Arial" w:cs="Arial" w:eastAsia="Arial" w:hAnsi="Arial"/>
          <w:sz w:val="18"/>
          <w:szCs w:val="18"/>
          <w:color w:val="auto"/>
        </w:rPr>
      </w:pPr>
    </w:p>
    <w:p>
      <w:pPr>
        <w:ind w:left="1160" w:right="160" w:hanging="534"/>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protect our sites, networks, and systems against security breaches, or otherwise to protect our confidential information or the confidential information of our users, customers, or other third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236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62363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parties, would damage our reputation and brand, and substantially harm our business and results of operations.</w:t>
      </w:r>
    </w:p>
    <w:p>
      <w:pPr>
        <w:spacing w:after="0" w:line="131" w:lineRule="exact"/>
        <w:rPr>
          <w:sz w:val="20"/>
          <w:szCs w:val="20"/>
          <w:color w:val="auto"/>
        </w:rPr>
      </w:pPr>
    </w:p>
    <w:p>
      <w:pPr>
        <w:ind w:left="1160" w:right="140" w:hanging="534"/>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manage our technical operations infrastructure, or experience service outages, interruptions, or delays in the deployment of our platform, our results of operations may be harmed.</w:t>
      </w:r>
    </w:p>
    <w:p>
      <w:pPr>
        <w:sectPr>
          <w:pgSz w:w="11900" w:h="16838" w:orient="portrait"/>
          <w:cols w:equalWidth="0" w:num="1">
            <w:col w:w="11040"/>
          </w:cols>
          <w:pgMar w:left="320" w:top="459" w:right="539" w:bottom="1440" w:gutter="0" w:footer="0" w:header="0"/>
        </w:sectPr>
      </w:pPr>
    </w:p>
    <w:p>
      <w:pPr>
        <w:spacing w:after="0" w:line="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trading price of our Class A common stock may be volatile and could, upon listing on rapidly.</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 decline significantly and</w:t>
      </w:r>
    </w:p>
    <w:p>
      <w:pPr>
        <w:spacing w:after="0" w:line="369" w:lineRule="exact"/>
        <w:rPr>
          <w:sz w:val="20"/>
          <w:szCs w:val="20"/>
          <w:color w:val="auto"/>
        </w:rPr>
      </w:pPr>
    </w:p>
    <w:p>
      <w:pPr>
        <w:sectPr>
          <w:pgSz w:w="11900" w:h="16838" w:orient="portrait"/>
          <w:cols w:equalWidth="0" w:num="3">
            <w:col w:w="680" w:space="480"/>
            <w:col w:w="6720" w:space="720"/>
            <w:col w:w="2440"/>
          </w:cols>
          <w:pgMar w:left="320" w:top="459" w:right="539" w:bottom="1440" w:gutter="0" w:footer="0" w:header="0"/>
          <w:type w:val="continuous"/>
        </w:sectPr>
      </w:pPr>
    </w:p>
    <w:p>
      <w:pPr>
        <w:ind w:left="6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tabs>
          <w:tab w:leader="none" w:pos="5340" w:val="left"/>
        </w:tabs>
        <w:rPr>
          <w:sz w:val="20"/>
          <w:szCs w:val="20"/>
          <w:color w:val="auto"/>
        </w:rPr>
      </w:pPr>
      <w:r>
        <w:rPr>
          <w:rFonts w:ascii="Arial" w:cs="Arial" w:eastAsia="Arial" w:hAnsi="Arial"/>
          <w:sz w:val="18"/>
          <w:szCs w:val="18"/>
          <w:color w:val="auto"/>
        </w:rPr>
        <w:t>The trading price of our Class A common stock, upon listing on</w:t>
      </w:r>
      <w:r>
        <w:rPr>
          <w:sz w:val="20"/>
          <w:szCs w:val="20"/>
          <w:color w:val="auto"/>
        </w:rPr>
        <w:tab/>
      </w:r>
      <w:r>
        <w:rPr>
          <w:rFonts w:ascii="Arial" w:cs="Arial" w:eastAsia="Arial" w:hAnsi="Arial"/>
          <w:sz w:val="16"/>
          <w:szCs w:val="16"/>
          <w:color w:val="auto"/>
        </w:rPr>
        <w:t>, may have little or no relationship to the historical sales prices</w:t>
      </w:r>
    </w:p>
    <w:p>
      <w:pPr>
        <w:spacing w:after="0" w:line="23" w:lineRule="exact"/>
        <w:rPr>
          <w:sz w:val="20"/>
          <w:szCs w:val="20"/>
          <w:color w:val="auto"/>
        </w:rPr>
      </w:pPr>
    </w:p>
    <w:p>
      <w:pPr>
        <w:sectPr>
          <w:pgSz w:w="11900" w:h="16838" w:orient="portrait"/>
          <w:cols w:equalWidth="0" w:num="2">
            <w:col w:w="680" w:space="480"/>
            <w:col w:w="9880"/>
          </w:cols>
          <w:pgMar w:left="320" w:top="459" w:right="539" w:bottom="1440" w:gutter="0" w:footer="0" w:header="0"/>
          <w:type w:val="continuous"/>
        </w:sectPr>
      </w:pPr>
    </w:p>
    <w:p>
      <w:pPr>
        <w:ind w:left="1160"/>
        <w:spacing w:after="0"/>
        <w:rPr>
          <w:sz w:val="20"/>
          <w:szCs w:val="20"/>
          <w:color w:val="auto"/>
        </w:rPr>
      </w:pPr>
      <w:r>
        <w:rPr>
          <w:rFonts w:ascii="Arial" w:cs="Arial" w:eastAsia="Arial" w:hAnsi="Arial"/>
          <w:sz w:val="18"/>
          <w:szCs w:val="18"/>
          <w:color w:val="auto"/>
        </w:rPr>
        <w:t>of our capital stock in private transactions, and such private transactions have been limited.</w:t>
      </w:r>
    </w:p>
    <w:p>
      <w:pPr>
        <w:spacing w:after="0" w:line="116" w:lineRule="exact"/>
        <w:rPr>
          <w:sz w:val="20"/>
          <w:szCs w:val="20"/>
          <w:color w:val="auto"/>
        </w:rPr>
      </w:pPr>
    </w:p>
    <w:p>
      <w:pPr>
        <w:ind w:left="1160" w:right="28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active, liquid, and orderly market for our Class A common stock may not develop or be sustained. You may be unable to sell your shares of Class A common stock at or above the price at which you purchased them.</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dual class structure of our common stock has the effect of concentrating voting control with those stockholders who held our capital</w:t>
      </w:r>
    </w:p>
    <w:p>
      <w:pPr>
        <w:sectPr>
          <w:pgSz w:w="11900" w:h="16838" w:orient="portrait"/>
          <w:cols w:equalWidth="0" w:num="1">
            <w:col w:w="11040"/>
          </w:cols>
          <w:pgMar w:left="320" w:top="459" w:right="539" w:bottom="1440" w:gutter="0" w:footer="0" w:header="0"/>
          <w:type w:val="continuous"/>
        </w:sectPr>
      </w:pPr>
    </w:p>
    <w:p>
      <w:pPr>
        <w:spacing w:after="0" w:line="46" w:lineRule="exact"/>
        <w:rPr>
          <w:sz w:val="20"/>
          <w:szCs w:val="20"/>
          <w:color w:val="auto"/>
        </w:rPr>
      </w:pPr>
    </w:p>
    <w:p>
      <w:pPr>
        <w:ind w:left="1160" w:right="280"/>
        <w:spacing w:after="0" w:line="250" w:lineRule="auto"/>
        <w:rPr>
          <w:sz w:val="20"/>
          <w:szCs w:val="20"/>
          <w:color w:val="auto"/>
        </w:rPr>
      </w:pPr>
      <w:r>
        <w:rPr>
          <w:rFonts w:ascii="Arial" w:cs="Arial" w:eastAsia="Arial" w:hAnsi="Arial"/>
          <w:sz w:val="18"/>
          <w:szCs w:val="18"/>
          <w:color w:val="auto"/>
        </w:rPr>
        <w:t>stock prior to the listing of our Class A common stock on , including our founders, directors, executive officers, and their respective affiliates, who held in the aggregate % of the voting power of our capital stock as of , 2020. This ownership</w:t>
      </w:r>
    </w:p>
    <w:p>
      <w:pPr>
        <w:sectPr>
          <w:pgSz w:w="11900" w:h="16838" w:orient="portrait"/>
          <w:cols w:equalWidth="0" w:num="1">
            <w:col w:w="11040"/>
          </w:cols>
          <w:pgMar w:left="320" w:top="459" w:right="539" w:bottom="1440" w:gutter="0" w:footer="0" w:header="0"/>
          <w:type w:val="continuous"/>
        </w:sectPr>
      </w:pPr>
    </w:p>
    <w:p>
      <w:pPr>
        <w:spacing w:after="0" w:line="1" w:lineRule="exact"/>
        <w:rPr>
          <w:sz w:val="20"/>
          <w:szCs w:val="20"/>
          <w:color w:val="auto"/>
        </w:rPr>
      </w:pPr>
    </w:p>
    <w:p>
      <w:pPr>
        <w:ind w:left="1160" w:right="200"/>
        <w:spacing w:after="0" w:line="255" w:lineRule="auto"/>
        <w:rPr>
          <w:sz w:val="20"/>
          <w:szCs w:val="20"/>
          <w:color w:val="auto"/>
        </w:rPr>
      </w:pPr>
      <w:r>
        <w:rPr>
          <w:rFonts w:ascii="Arial" w:cs="Arial" w:eastAsia="Arial" w:hAnsi="Arial"/>
          <w:sz w:val="18"/>
          <w:szCs w:val="18"/>
          <w:color w:val="auto"/>
        </w:rPr>
        <w:t>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95" w:lineRule="exact"/>
        <w:rPr>
          <w:sz w:val="20"/>
          <w:szCs w:val="20"/>
          <w:color w:val="auto"/>
        </w:rPr>
      </w:pPr>
    </w:p>
    <w:p>
      <w:pPr>
        <w:ind w:left="1160" w:right="180" w:hanging="534"/>
        <w:spacing w:after="0" w:line="263"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 of our stockholders are party to any contractual lock-up agreement or other contractual restrictions on transfer. Following our listing, sales of substantial amounts of our Class A common stock in the public markets, or the perception that sales might occur, could cause the market price of our Class A common stock to decline.</w:t>
      </w:r>
    </w:p>
    <w:p>
      <w:pPr>
        <w:spacing w:after="0" w:line="184" w:lineRule="exact"/>
        <w:rPr>
          <w:sz w:val="20"/>
          <w:szCs w:val="20"/>
          <w:color w:val="auto"/>
        </w:rPr>
      </w:pPr>
    </w:p>
    <w:p>
      <w:pPr>
        <w:ind w:left="200" w:right="120" w:firstLine="434"/>
        <w:spacing w:after="0" w:line="277" w:lineRule="auto"/>
        <w:rPr>
          <w:sz w:val="20"/>
          <w:szCs w:val="20"/>
          <w:color w:val="auto"/>
        </w:rPr>
      </w:pPr>
      <w:r>
        <w:rPr>
          <w:rFonts w:ascii="Arial" w:cs="Arial" w:eastAsia="Arial" w:hAnsi="Arial"/>
          <w:sz w:val="18"/>
          <w:szCs w:val="18"/>
          <w:color w:val="auto"/>
        </w:rPr>
        <w:t>If we are unable to adequately address these and other risks we face, our business, results of operations, financial condition, and prospects may be adversely affected.</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220" w:firstLine="434"/>
        <w:spacing w:after="0" w:line="291" w:lineRule="auto"/>
        <w:rPr>
          <w:sz w:val="20"/>
          <w:szCs w:val="20"/>
          <w:color w:val="auto"/>
        </w:rPr>
      </w:pPr>
      <w:r>
        <w:rPr>
          <w:rFonts w:ascii="Arial" w:cs="Arial" w:eastAsia="Arial" w:hAnsi="Arial"/>
          <w:sz w:val="16"/>
          <w:szCs w:val="16"/>
          <w:color w:val="auto"/>
        </w:rPr>
        <w:t>We were incorporated in December 2008 as Smiley Abstractions, Inc., a Delaware corporation. In July 2009, we changed our name to Asana, Inc. Our principal executive offices are located at 1550 Bryant Street, Suite 200, San Francisco, CA 94103, and our telephone number is (415)</w:t>
      </w:r>
    </w:p>
    <w:p>
      <w:pPr>
        <w:ind w:left="200" w:right="140"/>
        <w:spacing w:after="0" w:line="255" w:lineRule="auto"/>
        <w:rPr>
          <w:sz w:val="20"/>
          <w:szCs w:val="20"/>
          <w:color w:val="auto"/>
        </w:rPr>
      </w:pPr>
      <w:r>
        <w:rPr>
          <w:rFonts w:ascii="Arial" w:cs="Arial" w:eastAsia="Arial" w:hAnsi="Arial"/>
          <w:sz w:val="18"/>
          <w:szCs w:val="18"/>
          <w:color w:val="auto"/>
        </w:rPr>
        <w:t>525-3888. Our website address is www.asana.com. The information on, or that can be accessed through, our website is not incorporated by reference into this prospectus and should not be considered part of this prospectus. Investors should not rely on any such information in deciding whether to purchase our Class A common stock.</w:t>
      </w:r>
    </w:p>
    <w:p>
      <w:pPr>
        <w:spacing w:after="0" w:line="190" w:lineRule="exact"/>
        <w:rPr>
          <w:sz w:val="20"/>
          <w:szCs w:val="20"/>
          <w:color w:val="auto"/>
        </w:rPr>
      </w:pPr>
    </w:p>
    <w:p>
      <w:pPr>
        <w:ind w:left="200" w:firstLine="434"/>
        <w:spacing w:after="0" w:line="257" w:lineRule="auto"/>
        <w:rPr>
          <w:sz w:val="20"/>
          <w:szCs w:val="20"/>
          <w:color w:val="auto"/>
        </w:rPr>
      </w:pPr>
      <w:r>
        <w:rPr>
          <w:rFonts w:ascii="Arial" w:cs="Arial" w:eastAsia="Arial" w:hAnsi="Arial"/>
          <w:sz w:val="18"/>
          <w:szCs w:val="18"/>
          <w:color w:val="auto"/>
        </w:rPr>
        <w:t xml:space="preserve">The Asana design logo, “Asana,” and our other registered or common law trademarks, service marks, or trade names appearing in this prospectus are the property of Asana, Inc. Solely for convenience, our trademarks, tradenames, and service marks referred to in this prospectus appear without the </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8"/>
          <w:szCs w:val="18"/>
          <w:color w:val="auto"/>
        </w:rPr>
        <w:t>, and SM symbols, but those references are not intended to indicate, in any way, that we will not assert, to the fullest extent under applicable law, our rights to these trademarks, tradenames, and service marks. This prospectus contains additional trademarks, tradenames, and service marks of other companies that are the property of their respective owners.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21" w:lineRule="exact"/>
        <w:rPr>
          <w:sz w:val="20"/>
          <w:szCs w:val="20"/>
          <w:color w:val="auto"/>
        </w:rPr>
      </w:pPr>
    </w:p>
    <w:p>
      <w:pPr>
        <w:ind w:left="200" w:right="80" w:firstLine="434"/>
        <w:spacing w:after="0" w:line="277" w:lineRule="auto"/>
        <w:rPr>
          <w:sz w:val="20"/>
          <w:szCs w:val="20"/>
          <w:color w:val="auto"/>
        </w:rPr>
      </w:pPr>
      <w:r>
        <w:rPr>
          <w:rFonts w:ascii="Arial" w:cs="Arial" w:eastAsia="Arial" w:hAnsi="Arial"/>
          <w:sz w:val="18"/>
          <w:szCs w:val="18"/>
          <w:color w:val="auto"/>
        </w:rPr>
        <w:t>Investors, the media, and others should note that, following the effectiveness of the registration statement of which this prospectus forms a part, we intend to announce material information to the public through filings 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320" w:top="459" w:right="5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9244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49244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the SEC, the investor relations page on our website, blog posts on our website, press releases, public conference calls, webcasts, our twitter feed (@asana), our Facebook page, our Instagram account (@asana), and our LinkedIn page.</w:t>
      </w:r>
    </w:p>
    <w:p>
      <w:pPr>
        <w:spacing w:after="0" w:line="170" w:lineRule="exact"/>
        <w:rPr>
          <w:sz w:val="20"/>
          <w:szCs w:val="20"/>
          <w:color w:val="auto"/>
        </w:rPr>
      </w:pPr>
    </w:p>
    <w:p>
      <w:pPr>
        <w:ind w:left="200" w:right="140" w:firstLine="434"/>
        <w:spacing w:after="0" w:line="277" w:lineRule="auto"/>
        <w:rPr>
          <w:sz w:val="20"/>
          <w:szCs w:val="20"/>
          <w:color w:val="auto"/>
        </w:rPr>
      </w:pPr>
      <w:r>
        <w:rPr>
          <w:rFonts w:ascii="Arial" w:cs="Arial" w:eastAsia="Arial" w:hAnsi="Arial"/>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70" w:lineRule="exact"/>
        <w:rPr>
          <w:sz w:val="20"/>
          <w:szCs w:val="20"/>
          <w:color w:val="auto"/>
        </w:rPr>
      </w:pPr>
    </w:p>
    <w:p>
      <w:pPr>
        <w:ind w:left="200" w:right="120" w:firstLine="434"/>
        <w:spacing w:after="0" w:line="277" w:lineRule="auto"/>
        <w:rPr>
          <w:sz w:val="20"/>
          <w:szCs w:val="20"/>
          <w:color w:val="auto"/>
        </w:rPr>
      </w:pPr>
      <w:r>
        <w:rPr>
          <w:rFonts w:ascii="Arial" w:cs="Arial" w:eastAsia="Arial" w:hAnsi="Arial"/>
          <w:sz w:val="18"/>
          <w:szCs w:val="18"/>
          <w:color w:val="auto"/>
        </w:rPr>
        <w:t>Any updates to the list of disclosure channels through which we will announce information will be posted on the investor relations page on our website.</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20" w:firstLine="434"/>
        <w:spacing w:after="0" w:line="311" w:lineRule="auto"/>
        <w:rPr>
          <w:sz w:val="20"/>
          <w:szCs w:val="20"/>
          <w:color w:val="auto"/>
        </w:rPr>
      </w:pPr>
      <w:r>
        <w:rPr>
          <w:rFonts w:ascii="Arial" w:cs="Arial" w:eastAsia="Arial" w:hAnsi="Arial"/>
          <w:sz w:val="16"/>
          <w:szCs w:val="16"/>
          <w:color w:val="auto"/>
        </w:rPr>
        <w:t>As a company with less than $1.07 billion in revenues during our last completed fiscal year, we qualify as an “emerging growth company” as defined in the Jumpstart Our Business Startups Act of 2012, or the JOBS Act. An emerging growth company may take advantage of specified reduced reporting requirements that are otherwise applicable generally to public companies. These reduced reporting requirements include:</w:t>
      </w:r>
    </w:p>
    <w:p>
      <w:pPr>
        <w:spacing w:after="0" w:line="54" w:lineRule="exact"/>
        <w:rPr>
          <w:sz w:val="20"/>
          <w:szCs w:val="20"/>
          <w:color w:val="auto"/>
        </w:rPr>
      </w:pPr>
    </w:p>
    <w:p>
      <w:pPr>
        <w:ind w:left="1160" w:right="600" w:hanging="534"/>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on the effectiveness of our internal control over financial reporting;</w:t>
      </w:r>
    </w:p>
    <w:p>
      <w:pPr>
        <w:spacing w:after="0" w:line="75" w:lineRule="exact"/>
        <w:rPr>
          <w:rFonts w:ascii="Arial" w:cs="Arial" w:eastAsia="Arial" w:hAnsi="Arial"/>
          <w:sz w:val="18"/>
          <w:szCs w:val="18"/>
          <w:color w:val="auto"/>
        </w:rPr>
      </w:pPr>
    </w:p>
    <w:p>
      <w:pPr>
        <w:ind w:left="1160" w:hanging="534"/>
        <w:spacing w:after="0" w:line="342" w:lineRule="auto"/>
        <w:tabs>
          <w:tab w:leader="none" w:pos="11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exemption from compliance with any requirement that the Public Company Accounting Oversight Board, or the PCAOB, has adopted regarding a supplement to the auditor’s report providing additional information about the audit and the financial statements;</w:t>
      </w:r>
    </w:p>
    <w:p>
      <w:pPr>
        <w:spacing w:after="0" w:line="29" w:lineRule="exact"/>
        <w:rPr>
          <w:rFonts w:ascii="Arial" w:cs="Arial" w:eastAsia="Arial" w:hAnsi="Arial"/>
          <w:sz w:val="16"/>
          <w:szCs w:val="16"/>
          <w:color w:val="auto"/>
        </w:rPr>
      </w:pPr>
    </w:p>
    <w:p>
      <w:pPr>
        <w:ind w:left="1160" w:hanging="534"/>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160" w:right="120" w:hanging="534"/>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exemption from the requirements to obtain a non-binding advisory vote on executive compensation or a stockholder approval of any golden parachute arrangements; and</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225" w:lineRule="exact"/>
        <w:rPr>
          <w:sz w:val="20"/>
          <w:szCs w:val="20"/>
          <w:color w:val="auto"/>
        </w:rPr>
      </w:pPr>
    </w:p>
    <w:p>
      <w:pPr>
        <w:ind w:left="200" w:right="80" w:firstLine="434"/>
        <w:spacing w:after="0" w:line="254" w:lineRule="auto"/>
        <w:rPr>
          <w:sz w:val="20"/>
          <w:szCs w:val="20"/>
          <w:color w:val="auto"/>
        </w:rPr>
      </w:pPr>
      <w:r>
        <w:rPr>
          <w:rFonts w:ascii="Arial" w:cs="Arial" w:eastAsia="Arial" w:hAnsi="Arial"/>
          <w:sz w:val="18"/>
          <w:szCs w:val="18"/>
          <w:color w:val="auto"/>
        </w:rPr>
        <w:t>We will remain an emerging growth company until the earliest to occur of: (i) the end of the first fiscal year in which our annual gross revenues are $1.07 billion or more; (ii) the end of the first fiscal year in which we are deemed to be a “large accelerated filer,” as defined in the Securities Exchange Act of 1934, as amended, or the Exchange Act; (iii) the date on which we have, during the previous three-year period, issued more than $1.0 billion in non-convertible debt securities; and (iv) the end of the fiscal year during which the fifth anniversary of this listing occurs. We may choose to take advantage of some, but not all, of the available benefits under the JOBS Act. We are electing to use the extended transition periods available under the JOBS Act for complying with new or revised accounting standards, and we currently intend to take advantage of the other exemptions discussed above. Accordingly, the information contained herein may be different from the information you receive from other public companies in which you hold stock.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320" w:top="459" w:right="5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224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52247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320" w:firstLine="434"/>
        <w:spacing w:after="0" w:line="255" w:lineRule="auto"/>
        <w:rPr>
          <w:sz w:val="20"/>
          <w:szCs w:val="20"/>
          <w:color w:val="auto"/>
        </w:rPr>
      </w:pPr>
      <w:r>
        <w:rPr>
          <w:rFonts w:ascii="Arial" w:cs="Arial" w:eastAsia="Arial" w:hAnsi="Arial"/>
          <w:sz w:val="18"/>
          <w:szCs w:val="18"/>
          <w:i w:val="1"/>
          <w:iCs w:val="1"/>
          <w:color w:val="auto"/>
        </w:rPr>
        <w:t>The following tables summarize our consolidated financial data. The summary consolidated statement of operations data for the years ended January 31, 2019 and 2020 (except the pro forma share and net loss per share information) and consolidated balance sheet data as of January 31, 2020 have been derived from our audited consolidated financial statements included elsewhere in this prospectus. Our historical results are not necessarily indicative of the results that may be expected in the future. You should read the following summary consolidated financial data below in conjunction with the section titled “Management’s Discussion and Analysis of Financial Condition and Results of Operations” and our consolidated financial statements included elsewhere in this prospectus.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Year Ended January 31,</w:t>
            </w:r>
          </w:p>
        </w:tc>
      </w:tr>
      <w:tr>
        <w:trPr>
          <w:trHeight w:val="142"/>
        </w:trPr>
        <w:tc>
          <w:tcPr>
            <w:tcW w:w="2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8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2"/>
                <w:szCs w:val="12"/>
                <w:color w:val="auto"/>
              </w:rPr>
            </w:pPr>
          </w:p>
        </w:tc>
      </w:tr>
      <w:tr>
        <w:trPr>
          <w:trHeight w:val="119"/>
        </w:trPr>
        <w:tc>
          <w:tcPr>
            <w:tcW w:w="200" w:type="dxa"/>
            <w:vAlign w:val="bottom"/>
          </w:tcPr>
          <w:p>
            <w:pPr>
              <w:spacing w:after="0"/>
              <w:rPr>
                <w:sz w:val="10"/>
                <w:szCs w:val="10"/>
                <w:color w:val="auto"/>
              </w:rPr>
            </w:pPr>
          </w:p>
        </w:tc>
        <w:tc>
          <w:tcPr>
            <w:tcW w:w="70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3"/>
          </w:tcPr>
          <w:p>
            <w:pPr>
              <w:jc w:val="center"/>
              <w:ind w:right="88"/>
              <w:spacing w:after="0" w:line="119" w:lineRule="exact"/>
              <w:rPr>
                <w:sz w:val="20"/>
                <w:szCs w:val="20"/>
                <w:color w:val="auto"/>
              </w:rPr>
            </w:pPr>
            <w:r>
              <w:rPr>
                <w:rFonts w:ascii="Arial" w:cs="Arial" w:eastAsia="Arial" w:hAnsi="Arial"/>
                <w:sz w:val="13"/>
                <w:szCs w:val="13"/>
                <w:b w:val="1"/>
                <w:bCs w:val="1"/>
                <w:color w:val="auto"/>
                <w:w w:val="97"/>
              </w:rPr>
              <w:t>(in thousands, except per</w:t>
            </w:r>
          </w:p>
        </w:tc>
        <w:tc>
          <w:tcPr>
            <w:tcW w:w="180" w:type="dxa"/>
            <w:vAlign w:val="bottom"/>
          </w:tcPr>
          <w:p>
            <w:pPr>
              <w:spacing w:after="0"/>
              <w:rPr>
                <w:sz w:val="10"/>
                <w:szCs w:val="10"/>
                <w:color w:val="auto"/>
              </w:rPr>
            </w:pPr>
          </w:p>
        </w:tc>
      </w:tr>
      <w:tr>
        <w:trPr>
          <w:trHeight w:val="171"/>
        </w:trPr>
        <w:tc>
          <w:tcPr>
            <w:tcW w:w="20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left="354"/>
              <w:spacing w:after="0"/>
              <w:rPr>
                <w:sz w:val="20"/>
                <w:szCs w:val="20"/>
                <w:color w:val="auto"/>
              </w:rPr>
            </w:pPr>
            <w:r>
              <w:rPr>
                <w:rFonts w:ascii="Arial" w:cs="Arial" w:eastAsia="Arial" w:hAnsi="Arial"/>
                <w:sz w:val="14"/>
                <w:szCs w:val="14"/>
                <w:b w:val="1"/>
                <w:bCs w:val="1"/>
                <w:color w:val="auto"/>
                <w:w w:val="90"/>
              </w:rPr>
              <w:t>share amounts)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20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Revenues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76,770</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13,832</w:t>
            </w: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7280" w:type="dxa"/>
            <w:vAlign w:val="bottom"/>
            <w:gridSpan w:val="2"/>
          </w:tcPr>
          <w:p>
            <w:pPr>
              <w:ind w:left="200"/>
              <w:spacing w:after="0"/>
              <w:rPr>
                <w:sz w:val="20"/>
                <w:szCs w:val="20"/>
                <w:color w:val="auto"/>
              </w:rPr>
            </w:pPr>
            <w:r>
              <w:rPr>
                <w:rFonts w:ascii="Arial" w:cs="Arial" w:eastAsia="Arial" w:hAnsi="Arial"/>
                <w:sz w:val="18"/>
                <w:szCs w:val="18"/>
                <w:color w:val="auto"/>
              </w:rPr>
              <w:t>Gross profit</w:t>
            </w:r>
          </w:p>
        </w:tc>
        <w:tc>
          <w:tcPr>
            <w:tcW w:w="1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62,938</w:t>
            </w: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20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080" w:type="dxa"/>
            <w:vAlign w:val="bottom"/>
          </w:tcPr>
          <w:p>
            <w:pPr>
              <w:ind w:left="18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42,585</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52,106</w:t>
            </w: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200" w:type="dxa"/>
            <w:vAlign w:val="bottom"/>
          </w:tcPr>
          <w:p>
            <w:pPr>
              <w:spacing w:after="0"/>
              <w:rPr>
                <w:sz w:val="19"/>
                <w:szCs w:val="19"/>
                <w:color w:val="auto"/>
              </w:rPr>
            </w:pPr>
          </w:p>
        </w:tc>
        <w:tc>
          <w:tcPr>
            <w:tcW w:w="7080" w:type="dxa"/>
            <w:vAlign w:val="bottom"/>
          </w:tcPr>
          <w:p>
            <w:pPr>
              <w:ind w:left="18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20,260</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0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114,951</w:t>
            </w: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7280" w:type="dxa"/>
            <w:vAlign w:val="bottom"/>
            <w:gridSpan w:val="2"/>
          </w:tcPr>
          <w:p>
            <w:pPr>
              <w:ind w:left="200"/>
              <w:spacing w:after="0"/>
              <w:rPr>
                <w:sz w:val="20"/>
                <w:szCs w:val="20"/>
                <w:color w:val="auto"/>
              </w:rPr>
            </w:pPr>
            <w:r>
              <w:rPr>
                <w:rFonts w:ascii="Arial" w:cs="Arial" w:eastAsia="Arial" w:hAnsi="Arial"/>
                <w:sz w:val="18"/>
                <w:szCs w:val="18"/>
                <w:color w:val="auto"/>
              </w:rPr>
              <w:t>Loss from operations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(52,013)</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0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7280" w:type="dxa"/>
            <w:vAlign w:val="bottom"/>
            <w:gridSpan w:val="2"/>
          </w:tcPr>
          <w:p>
            <w:pPr>
              <w:ind w:left="200"/>
              <w:spacing w:after="0"/>
              <w:rPr>
                <w:sz w:val="20"/>
                <w:szCs w:val="20"/>
                <w:color w:val="auto"/>
              </w:rPr>
            </w:pPr>
            <w:r>
              <w:rPr>
                <w:rFonts w:ascii="Arial" w:cs="Arial" w:eastAsia="Arial" w:hAnsi="Arial"/>
                <w:sz w:val="18"/>
                <w:szCs w:val="18"/>
                <w:color w:val="auto"/>
              </w:rPr>
              <w:t>Loss before provision for income taxes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(50,900)</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0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7280" w:type="dxa"/>
            <w:vAlign w:val="bottom"/>
            <w:gridSpan w:val="2"/>
          </w:tcPr>
          <w:p>
            <w:pPr>
              <w:ind w:left="200"/>
              <w:spacing w:after="0"/>
              <w:rPr>
                <w:sz w:val="20"/>
                <w:szCs w:val="20"/>
                <w:color w:val="auto"/>
              </w:rPr>
            </w:pPr>
            <w:r>
              <w:rPr>
                <w:rFonts w:ascii="Arial" w:cs="Arial" w:eastAsia="Arial" w:hAnsi="Arial"/>
                <w:sz w:val="18"/>
                <w:szCs w:val="18"/>
                <w:color w:val="auto"/>
              </w:rPr>
              <w:t>Net loss</w:t>
            </w:r>
          </w:p>
        </w:tc>
        <w:tc>
          <w:tcPr>
            <w:tcW w:w="15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(50,928</w:t>
            </w:r>
          </w:p>
        </w:tc>
        <w:tc>
          <w:tcPr>
            <w:tcW w:w="880" w:type="dxa"/>
            <w:vAlign w:val="bottom"/>
          </w:tcPr>
          <w:p>
            <w:pPr>
              <w:jc w:val="right"/>
              <w:ind w:right="741"/>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0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41"/>
              <w:spacing w:after="0"/>
              <w:rPr>
                <w:sz w:val="20"/>
                <w:szCs w:val="20"/>
                <w:color w:val="auto"/>
              </w:rPr>
            </w:pPr>
            <w:r>
              <w:rPr>
                <w:rFonts w:ascii="Arial" w:cs="Arial" w:eastAsia="Arial" w:hAnsi="Arial"/>
                <w:sz w:val="18"/>
                <w:szCs w:val="18"/>
                <w:color w:val="auto"/>
              </w:rPr>
              <w:t>(0.78)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2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calculating 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0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65,214</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2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0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41"/>
              <w:spacing w:after="0"/>
              <w:rPr>
                <w:sz w:val="20"/>
                <w:szCs w:val="20"/>
                <w:color w:val="auto"/>
              </w:rPr>
            </w:pPr>
            <w:r>
              <w:rPr>
                <w:rFonts w:ascii="Arial" w:cs="Arial" w:eastAsia="Arial" w:hAnsi="Arial"/>
                <w:sz w:val="18"/>
                <w:szCs w:val="18"/>
                <w:color w:val="auto"/>
              </w:rPr>
              <w:t>(0.38)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2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calculating pro forma 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70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1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133,845</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2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70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r>
      <w:tr>
        <w:trPr>
          <w:trHeight w:val="604"/>
        </w:trPr>
        <w:tc>
          <w:tcPr>
            <w:tcW w:w="7280" w:type="dxa"/>
            <w:vAlign w:val="bottom"/>
            <w:gridSpan w:val="2"/>
          </w:tcPr>
          <w:p>
            <w:pPr>
              <w:ind w:left="5540"/>
              <w:spacing w:after="0"/>
              <w:rPr>
                <w:sz w:val="20"/>
                <w:szCs w:val="20"/>
                <w:color w:val="auto"/>
              </w:rPr>
            </w:pPr>
            <w:r>
              <w:rPr>
                <w:rFonts w:ascii="Arial" w:cs="Arial" w:eastAsia="Arial" w:hAnsi="Arial"/>
                <w:sz w:val="18"/>
                <w:szCs w:val="18"/>
                <w:color w:val="auto"/>
              </w:rPr>
              <w:t>12</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021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602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20" w:hanging="426"/>
        <w:spacing w:after="0"/>
        <w:tabs>
          <w:tab w:leader="none" w:pos="6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include stock-based compensation expense as follows:</w:t>
      </w:r>
    </w:p>
    <w:p>
      <w:pPr>
        <w:spacing w:after="0" w:line="227"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Year Ended January 31,</w:t>
            </w:r>
          </w:p>
        </w:tc>
      </w:tr>
      <w:tr>
        <w:trPr>
          <w:trHeight w:val="142"/>
        </w:trPr>
        <w:tc>
          <w:tcPr>
            <w:tcW w:w="83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8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3"/>
          </w:tcPr>
          <w:p>
            <w:pPr>
              <w:jc w:val="center"/>
              <w:ind w:right="68"/>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r>
      <w:tr>
        <w:trPr>
          <w:trHeight w:val="149"/>
        </w:trPr>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w:t>
            </w: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8"/>
        </w:trPr>
        <w:tc>
          <w:tcPr>
            <w:tcW w:w="834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5,160</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8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2,108</w:t>
            </w: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8"/>
        </w:trPr>
        <w:tc>
          <w:tcPr>
            <w:tcW w:w="834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1,242</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7"/>
        </w:trPr>
        <w:tc>
          <w:tcPr>
            <w:tcW w:w="8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49"/>
        </w:trPr>
        <w:tc>
          <w:tcPr>
            <w:tcW w:w="83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stock-based compensation expense</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8,547</w:t>
            </w: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6" w:lineRule="exact"/>
        <w:rPr>
          <w:sz w:val="20"/>
          <w:szCs w:val="20"/>
          <w:color w:val="auto"/>
        </w:rPr>
      </w:pPr>
    </w:p>
    <w:p>
      <w:pPr>
        <w:ind w:left="620" w:right="160"/>
        <w:spacing w:after="0" w:line="253" w:lineRule="auto"/>
        <w:rPr>
          <w:sz w:val="20"/>
          <w:szCs w:val="20"/>
          <w:color w:val="auto"/>
        </w:rPr>
      </w:pPr>
      <w:r>
        <w:rPr>
          <w:rFonts w:ascii="Arial" w:cs="Arial" w:eastAsia="Arial" w:hAnsi="Arial"/>
          <w:sz w:val="14"/>
          <w:szCs w:val="14"/>
          <w:color w:val="auto"/>
        </w:rPr>
        <w:t>Stock-based compensation expense for fiscal 2019 includes $3.8 million of compensation expense related to a tender offer that was consummated in fiscal 2019 (see Note 9 to our consolidated financial statements included elsewhere in this prospectus).</w:t>
      </w:r>
    </w:p>
    <w:p>
      <w:pPr>
        <w:spacing w:after="0" w:line="79" w:lineRule="exact"/>
        <w:rPr>
          <w:sz w:val="20"/>
          <w:szCs w:val="20"/>
          <w:color w:val="auto"/>
        </w:rPr>
      </w:pPr>
    </w:p>
    <w:p>
      <w:pPr>
        <w:ind w:left="620" w:right="260" w:hanging="426"/>
        <w:spacing w:after="0" w:line="290" w:lineRule="auto"/>
        <w:tabs>
          <w:tab w:leader="none" w:pos="6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See Note 2 and Note 7 to our consolidated financial statements included elsewhere in this prospectus for an explanation of the method used to calculate our basic and diluted net loss per share, our basic and diluted pro forma net loss per share, and the weighted-average number of shares used in the computation of the per share amounts.</w:t>
      </w:r>
    </w:p>
    <w:p>
      <w:pPr>
        <w:spacing w:after="0" w:line="175"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As of January 31, 2020</w:t>
      </w:r>
    </w:p>
    <w:p>
      <w:pPr>
        <w:spacing w:after="0" w:line="17" w:lineRule="exact"/>
        <w:rPr>
          <w:sz w:val="20"/>
          <w:szCs w:val="20"/>
          <w:color w:val="auto"/>
        </w:rPr>
      </w:pPr>
    </w:p>
    <w:p>
      <w:pPr>
        <w:ind w:left="8900"/>
        <w:spacing w:after="0"/>
        <w:tabs>
          <w:tab w:leader="none" w:pos="9980" w:val="left"/>
        </w:tabs>
        <w:rPr>
          <w:sz w:val="20"/>
          <w:szCs w:val="20"/>
          <w:color w:val="auto"/>
        </w:rPr>
      </w:pPr>
      <w:r>
        <w:rPr>
          <w:rFonts w:ascii="Arial" w:cs="Arial" w:eastAsia="Arial" w:hAnsi="Arial"/>
          <w:sz w:val="14"/>
          <w:szCs w:val="14"/>
          <w:b w:val="1"/>
          <w:bCs w:val="1"/>
          <w:color w:val="auto"/>
        </w:rPr>
        <w:t>Actual</w:t>
      </w:r>
      <w:r>
        <w:rPr>
          <w:sz w:val="20"/>
          <w:szCs w:val="20"/>
          <w:color w:val="auto"/>
        </w:rPr>
        <w:tab/>
      </w: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p>
      <w:pPr>
        <w:ind w:left="9340"/>
        <w:spacing w:after="0" w:line="235" w:lineRule="auto"/>
        <w:rPr>
          <w:sz w:val="20"/>
          <w:szCs w:val="20"/>
          <w:color w:val="auto"/>
        </w:rPr>
      </w:pPr>
      <w:r>
        <w:rPr>
          <w:rFonts w:ascii="Arial" w:cs="Arial" w:eastAsia="Arial" w:hAnsi="Arial"/>
          <w:sz w:val="14"/>
          <w:szCs w:val="14"/>
          <w:b w:val="1"/>
          <w:bCs w:val="1"/>
          <w:color w:val="auto"/>
        </w:rPr>
        <w:t>(in thousands)</w:t>
      </w:r>
    </w:p>
    <w:p>
      <w:pPr>
        <w:ind w:left="200"/>
        <w:spacing w:after="0"/>
        <w:rPr>
          <w:sz w:val="20"/>
          <w:szCs w:val="20"/>
          <w:color w:val="auto"/>
        </w:rPr>
      </w:pPr>
      <w:r>
        <w:rPr>
          <w:rFonts w:ascii="Arial" w:cs="Arial" w:eastAsia="Arial" w:hAnsi="Arial"/>
          <w:sz w:val="18"/>
          <w:szCs w:val="18"/>
          <w:b w:val="1"/>
          <w:bCs w:val="1"/>
          <w:color w:val="auto"/>
        </w:rPr>
        <w:t>Consolidated Balance Sheet Data:</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cash equivalents, and marketable securities</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(2)</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assets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Deferred revenue</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Convertible note payable</w:t>
      </w:r>
      <w:r>
        <w:rPr>
          <w:rFonts w:ascii="Arial" w:cs="Arial" w:eastAsia="Arial" w:hAnsi="Arial"/>
          <w:sz w:val="15"/>
          <w:szCs w:val="15"/>
          <w:color w:val="auto"/>
        </w:rPr>
        <w:t>(3)</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Redeemable convertible preferred stock</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stockholders’ (deficit) equity</w:t>
      </w:r>
    </w:p>
    <w:p>
      <w:pPr>
        <w:spacing w:after="0" w:line="166" w:lineRule="exact"/>
        <w:rPr>
          <w:sz w:val="20"/>
          <w:szCs w:val="20"/>
          <w:color w:val="auto"/>
        </w:rPr>
      </w:pPr>
    </w:p>
    <w:p>
      <w:pPr>
        <w:ind w:left="1200" w:right="660" w:hanging="1006"/>
        <w:spacing w:after="0" w:line="230" w:lineRule="auto"/>
        <w:tabs>
          <w:tab w:leader="none" w:pos="625"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pro forma column in the consolidated balance sheet table above reflects the automatic conversion of all outstanding shares of our preferred stock into an aggregate of shares of our Class B common stock, as if such conversion had occurred on January 31, 2020.</w:t>
      </w:r>
    </w:p>
    <w:p>
      <w:pPr>
        <w:ind w:left="620" w:hanging="426"/>
        <w:spacing w:after="0" w:line="221" w:lineRule="auto"/>
        <w:tabs>
          <w:tab w:leader="none" w:pos="6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ind w:left="620" w:hanging="426"/>
        <w:spacing w:after="0"/>
        <w:tabs>
          <w:tab w:leader="none" w:pos="6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3.5% senior mandatory convertible promissory note due 2025. For additional information, see “Description of Capital Stock—Senior Mandatory Convertible Promissory Note.”</w:t>
      </w: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200" w:right="40" w:firstLine="434"/>
        <w:spacing w:after="0" w:line="308" w:lineRule="auto"/>
        <w:rPr>
          <w:sz w:val="20"/>
          <w:szCs w:val="20"/>
          <w:color w:val="auto"/>
        </w:rPr>
      </w:pPr>
      <w:r>
        <w:rPr>
          <w:rFonts w:ascii="Arial" w:cs="Arial" w:eastAsia="Arial" w:hAnsi="Arial"/>
          <w:sz w:val="17"/>
          <w:szCs w:val="17"/>
          <w:color w:val="auto"/>
        </w:rPr>
        <w:t>The following table summarizes our non-GAAP financial measures for each fiscal year presented below. In addition to our results determined in accordance with GAAP, we believe these non-GAAP financial measures are useful in evaluating our operating performance.</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Year Ended January 31,</w:t>
            </w:r>
          </w:p>
        </w:tc>
      </w:tr>
      <w:tr>
        <w:trPr>
          <w:trHeight w:val="142"/>
        </w:trPr>
        <w:tc>
          <w:tcPr>
            <w:tcW w:w="86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42"/>
        </w:trPr>
        <w:tc>
          <w:tcPr>
            <w:tcW w:w="8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ind w:left="301"/>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Non-GAAP loss from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(43,466)</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8660" w:type="dxa"/>
            <w:vAlign w:val="bottom"/>
          </w:tcPr>
          <w:p>
            <w:pPr>
              <w:spacing w:after="0"/>
              <w:rPr>
                <w:sz w:val="20"/>
                <w:szCs w:val="20"/>
                <w:color w:val="auto"/>
              </w:rPr>
            </w:pPr>
            <w:r>
              <w:rPr>
                <w:rFonts w:ascii="Arial" w:cs="Arial" w:eastAsia="Arial" w:hAnsi="Arial"/>
                <w:sz w:val="18"/>
                <w:szCs w:val="18"/>
                <w:color w:val="auto"/>
              </w:rPr>
              <w:t>Free cash flow</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ind w:left="40"/>
              <w:spacing w:after="0"/>
              <w:rPr>
                <w:sz w:val="20"/>
                <w:szCs w:val="20"/>
                <w:color w:val="auto"/>
              </w:rPr>
            </w:pPr>
            <w:r>
              <w:rPr>
                <w:rFonts w:ascii="Arial" w:cs="Arial" w:eastAsia="Arial" w:hAnsi="Arial"/>
                <w:sz w:val="18"/>
                <w:szCs w:val="18"/>
                <w:color w:val="auto"/>
              </w:rPr>
              <w:t>(33,587)</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200" w:right="40" w:firstLine="434"/>
        <w:spacing w:after="0" w:line="263" w:lineRule="auto"/>
        <w:rPr>
          <w:sz w:val="20"/>
          <w:szCs w:val="20"/>
          <w:color w:val="auto"/>
        </w:rPr>
      </w:pPr>
      <w:r>
        <w:rPr>
          <w:rFonts w:ascii="Arial" w:cs="Arial" w:eastAsia="Arial" w:hAnsi="Arial"/>
          <w:sz w:val="18"/>
          <w:szCs w:val="18"/>
          <w:color w:val="auto"/>
        </w:rPr>
        <w:t>For additional information concerning the limitations and reconciliations of the non-GAAP financial measures to the most directly comparable financial measures stated in accordance with GAAP, see the section titled “Management’s Discussion and Analysis of Financial Condition and Results of Operations—Non-GAAP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32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described below, as well as the other information in this prospectus, including our consolidated financial statements and “Management’s Discussion and Analysis of Financial Condition and Results of Operations,”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rapid growth in recent periods, and our recent growth rates may not be indicative of our future growth.</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have experienced rapid growth in recent periods. In future periods, we expect our revenue growth rate to decline. Further, as we operate in a new and rapidly changing category of work management software, widespread acceptance and use of our platform is critical to our future growth and success. We believe our revenue growth depends on a number of factors, including, but not limited to, our ability to:</w:t>
      </w:r>
    </w:p>
    <w:p>
      <w:pPr>
        <w:spacing w:after="0" w:line="89" w:lineRule="exact"/>
        <w:rPr>
          <w:sz w:val="20"/>
          <w:szCs w:val="20"/>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attract new individuals, teams, and organizations as customers;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 or maintain our dollar-based net retention rate, expand usage within organizations, and sell subscriptions;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our subscription plans effectively;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convert individuals, teams, and organizations on our free and trial versions into paying customers;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 including in markets outside of the United States;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successfully expand our sales force;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the features and capabilities of our platform;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excellent customer experience and customer support;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as well as existing software tools;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 with existing and new applicable laws and regulations.</w:t>
      </w:r>
    </w:p>
    <w:p>
      <w:pPr>
        <w:spacing w:after="0" w:line="225"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If we are unable to accomplish these tasks,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 We have also encountered in the past, and expect to encounter in the future, risks and uncertainties frequently experienced by growing companies in rapidly evolving industries. If our assumptions regarding these risks and uncertainties, which we use to plan and operate our business, are incorrect or change, or if we do not address these risks successfully, our revenue growth rates may slow and our business, results of operations, and financial condition would suffer.</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60"/>
          </w:cols>
          <w:pgMar w:left="32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at our current scale, which makes it difficult to evaluate our future prospects and may increase the risk that we will not be successful.</w:t>
      </w:r>
    </w:p>
    <w:p>
      <w:pPr>
        <w:spacing w:after="0" w:line="62"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We have been growing rapidly in recent periods and, as a result, have a relatively short history operating our business at its current scale. Furthermore, we operate in an industry that is characterized by rapid technological innovation, intense competition, changing customer needs, and frequent introductions of new products, technologies, and services. We have encountered, and will continue to encounter, risks and uncertainties frequently experienced by growing companies in evolving industries. If our assumptions regarding these risks and uncertainties, which we use to plan our business, are incorrect or change in reaction to changes in the market, or if we do not address these risks successfully, our results of operations could differ materially from our expectations, and our business, results of operations, and financial condition would suffer.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not be able to achieve profitability or, if achieved, sustain profitability.</w:t>
      </w:r>
    </w:p>
    <w:p>
      <w:pPr>
        <w:spacing w:after="0" w:line="117" w:lineRule="exact"/>
        <w:rPr>
          <w:sz w:val="20"/>
          <w:szCs w:val="20"/>
          <w:color w:val="auto"/>
        </w:rPr>
      </w:pPr>
    </w:p>
    <w:p>
      <w:pPr>
        <w:jc w:val="both"/>
        <w:ind w:firstLine="449"/>
        <w:spacing w:after="0" w:line="274" w:lineRule="auto"/>
        <w:rPr>
          <w:sz w:val="20"/>
          <w:szCs w:val="20"/>
          <w:color w:val="auto"/>
        </w:rPr>
      </w:pPr>
      <w:r>
        <w:rPr>
          <w:rFonts w:ascii="Arial" w:cs="Arial" w:eastAsia="Arial" w:hAnsi="Arial"/>
          <w:sz w:val="17"/>
          <w:szCs w:val="17"/>
          <w:color w:val="auto"/>
        </w:rPr>
        <w:t>We have incurred net losses in each fiscal year since our founding. We generated net losses of $50.9 million and $ million in fiscal 2019 and fiscal 2020, respectively. As of January 31, 2020, we had an accumulated deficit of $ million. We do not expect to be profitable in the near future,</w:t>
      </w:r>
    </w:p>
    <w:p>
      <w:pPr>
        <w:ind w:right="20"/>
        <w:spacing w:after="0" w:line="255" w:lineRule="auto"/>
        <w:rPr>
          <w:sz w:val="20"/>
          <w:szCs w:val="20"/>
          <w:color w:val="auto"/>
        </w:rPr>
      </w:pPr>
      <w:r>
        <w:rPr>
          <w:rFonts w:ascii="Arial" w:cs="Arial" w:eastAsia="Arial" w:hAnsi="Arial"/>
          <w:sz w:val="18"/>
          <w:szCs w:val="18"/>
          <w:color w:val="auto"/>
        </w:rPr>
        <w:t>and we cannot assure you that we will achieve profitability in the future or that, if we do become profitable, we will sustain profitability. These losses reflect, among other things, the significant investments we made to develop and commercialize our platform, serve our existing customers, and broaden our customer base.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continue to make substantial future investments and expenditures related to the growth of our business, including:</w:t>
      </w:r>
    </w:p>
    <w:p>
      <w:pPr>
        <w:spacing w:after="0" w:line="131" w:lineRule="exact"/>
        <w:rPr>
          <w:sz w:val="20"/>
          <w:szCs w:val="20"/>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expansion of our sales and marketing activities;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continued investments in research and development to introduce new features and enhancements to our platform;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hiring additional employees;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investments in infrastructure;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expansion of our operations across our multiple geographies;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costs associated with our general and administrative organization.</w:t>
      </w:r>
    </w:p>
    <w:p>
      <w:pPr>
        <w:spacing w:after="0" w:line="225"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As a result of these investments and expenditures, we may experience losses in future periods that may increase significantly. Therefore, our losses in future periods may be significantly greater than the losses we would incur if we developed our business more slowly. In addition, we may find that these efforts are more expensive than we currently anticipate or that they may not result in increases in our revenues. We cannot be certain that we will be able to achieve, sustain, or increase profitability on a quarterly or annual basis. Any failure by us to achieve and sustain profitability would cause the trading price of our Class A common stock to decline.</w:t>
      </w:r>
    </w:p>
    <w:p>
      <w:pPr>
        <w:spacing w:after="0" w:line="2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believe our long-term value as a company will be greater if we focus on growth, which may negatively impact our profitability in the near and medium term.</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significant part of our business strategy and culture is to focus on long-term growth and customer success over short-term financial results. For</w:t>
      </w:r>
    </w:p>
    <w:p>
      <w:pPr>
        <w:spacing w:after="0" w:line="46"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example, in fiscal 2020, we increased our operating expenses to $ million as compared to $115.0 million in fiscal 2019. In fiscal 2020, our net loss increased to $ million from $50.9 million in fiscal 2019. As a result, in the near and medium term, we may continue to operate at a loss, or our</w:t>
      </w:r>
    </w:p>
    <w:p>
      <w:pPr>
        <w:jc w:val="both"/>
        <w:ind w:right="320"/>
        <w:spacing w:after="0" w:line="323" w:lineRule="auto"/>
        <w:rPr>
          <w:sz w:val="20"/>
          <w:szCs w:val="20"/>
          <w:color w:val="auto"/>
        </w:rPr>
      </w:pPr>
      <w:r>
        <w:rPr>
          <w:rFonts w:ascii="Arial" w:cs="Arial" w:eastAsia="Arial" w:hAnsi="Arial"/>
          <w:sz w:val="16"/>
          <w:szCs w:val="16"/>
          <w:color w:val="auto"/>
        </w:rPr>
        <w:t>near- and medium-term profitability may be lower than it would be if our strategy were to maximize near- and medium-term profitability. We expect to continue making significant expenditures on sales and marketing efforts, and expenditures to grow our platform and develop new features, integrations,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capabilities, and enhancements to our platform. Such expenditures may not result in improved business results or profitability over the long term. If we are ultimately unable to achieve or improve profitability at the level or during the time frame anticipated by securities or industry analysts and our stockholders, the trading price of our Class A common stock may decline.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meet our expectations or those of investors or securities analysts.</w:t>
      </w:r>
    </w:p>
    <w:p>
      <w:pPr>
        <w:spacing w:after="0" w:line="117"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color w:val="auto"/>
        </w:rPr>
        <w:t>Our quarterly results of operations, including the levels of our revenues, deferred revenue, working capital, and cash flows, may vary significantly in the future, such that period-to-period comparisons of our results of operations may not be meaningful. Our quarterly financial results may fluctuate due to a variety of factors, many of which are outside of our control and may be difficult to predict, including, but not limited to:</w:t>
      </w:r>
    </w:p>
    <w:p>
      <w:pPr>
        <w:spacing w:after="0" w:line="71" w:lineRule="exact"/>
        <w:rPr>
          <w:sz w:val="20"/>
          <w:szCs w:val="20"/>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demand for our platform;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grow or maintain our dollar-based net retention rate, expand usage within organizations, and sell subscriptions;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convert individuals, teams, and organizations using our free and trial versions into paying customers;</w:t>
      </w:r>
    </w:p>
    <w:p>
      <w:pPr>
        <w:spacing w:after="0" w:line="130"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to our platform, or by our competitors to their products, or any other changes in the competitive landscape of our market;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achieve widespread acceptance and use of our platform;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errors in our forecasting of the demand for our platform, which would lead to lower revenues, increased costs, or both;</w:t>
      </w:r>
    </w:p>
    <w:p>
      <w:pPr>
        <w:spacing w:after="0" w:line="130"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to remain competitive;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expenses and recognition of revenues;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to our platform;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pressure as a result of competition or otherwise;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new employees hired;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the grant or vesting of equity awards to employees, directors, or consultants;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seasonal buying patterns for software spending;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w:t>
      </w:r>
    </w:p>
    <w:p>
      <w:pPr>
        <w:spacing w:after="0" w:line="130" w:lineRule="exact"/>
        <w:rPr>
          <w:rFonts w:ascii="Arial" w:cs="Arial" w:eastAsia="Arial" w:hAnsi="Arial"/>
          <w:sz w:val="18"/>
          <w:szCs w:val="18"/>
          <w:color w:val="auto"/>
        </w:rPr>
      </w:pPr>
    </w:p>
    <w:p>
      <w:pPr>
        <w:ind w:left="1000" w:right="64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and timing of expenses related to the potential acquisition of businesses, talent, technologies, or intellectual property, including potentially significant amortization costs and possible write-downs;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health epidemics, such as the novel coronavirus outbreak, or COVID-19, influenza, and other highly communicable diseases or viruses; and</w:t>
      </w:r>
    </w:p>
    <w:p>
      <w:pPr>
        <w:spacing w:after="0" w:line="153" w:lineRule="exact"/>
        <w:rPr>
          <w:rFonts w:ascii="Arial" w:cs="Arial" w:eastAsia="Arial" w:hAnsi="Arial"/>
          <w:sz w:val="16"/>
          <w:szCs w:val="16"/>
          <w:color w:val="auto"/>
        </w:rPr>
      </w:pPr>
    </w:p>
    <w:p>
      <w:pPr>
        <w:ind w:left="1000" w:right="20" w:hanging="547"/>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geopolitical uncertainty and instability and their effects on software spending.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459" w:right="3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firstLine="449"/>
        <w:spacing w:after="0" w:line="308" w:lineRule="auto"/>
        <w:rPr>
          <w:sz w:val="20"/>
          <w:szCs w:val="20"/>
          <w:color w:val="auto"/>
        </w:rPr>
      </w:pPr>
      <w:r>
        <w:rPr>
          <w:rFonts w:ascii="Arial" w:cs="Arial" w:eastAsia="Arial" w:hAnsi="Arial"/>
          <w:sz w:val="17"/>
          <w:szCs w:val="17"/>
          <w:color w:val="auto"/>
        </w:rPr>
        <w:t>Any one or more of the factors above may result in significant fluctuations in our quarterly results of operations, which may negatively impact the trading price of our Class A common stock. You should not rely on our past results as an indicator of our future performance.</w:t>
      </w:r>
    </w:p>
    <w:p>
      <w:pPr>
        <w:spacing w:after="0" w:line="146"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variability and unpredictability of our quarterly results of operations or other operating metrics could result in our failure to meet our expectations or those of investors or analysts with respect to revenues or other metrics for a particular period. If we fail to meet or exceed such expectations for these or any other reasons, the trading price of our Class A common stock would fall, and we would face costly litigation, including securities class action lawsuits.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manage our growth.</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have experienced rapid growth and increased demand for our platform. The growth and expansion of our business and platform may place a significant strain on our management, operational, and financial resources. We are required to manage multiple relationships with various strategic partners, customers, and other third parties. In the event of further growth of our operations or in the number of our third-party relationships, our computer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systems and expand, train, and manage our employee base.</w:t>
      </w:r>
    </w:p>
    <w:p>
      <w:pPr>
        <w:spacing w:after="0" w:line="30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76"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To increase our revenues and achieve profitability, we must increase our customer base through various methods, including but not limited to, adding new customers, converting individuals, teams, and organizations using our free and trial versions into paying customers, and expanding usage within organizations. We encourage customers on our free and trial versions to upgrade to paid subscriptions plans and customers of our Premium plan to upgrade to our Business or Enterprise plans. Additionally, we seek to expand within enterprises by adding new customers, having organizations upgrade to our Business or Enterprise plans, or expanding their use of our platform into other departments within an organization. While we have experienced significant growth in the number of customers, we do not know whether we will continue to achieve similar customer growth rates in the future. Numerous factors may impede our ability to add new customers, convert individuals, teams, and organizations using our free and trial versions into paying customers, expand usage within organizations, and sell subscriptions to our platform, including but not limited to, our failure to attract and effectively train new sales and marketing personnel, failure to retain and motivate our current sales and marketing personnel, failure to develop or expand relationships with partners, failure to compete effectively against alternative products or services, failure to successfully deploy new features and integrations, failure to provide a quality customer experience and customer support, or failure to ensure the effectiveness of our marketing programs. Additionally, as we focus on increasing our sales to larger organizations, we will be required to deploy sophisticated and costly sales efforts, which may result in longer sales cycles. Sales efforts targeted at larger customers typically involve greater costs, longer sales cycles, greater competition, and less predictability in completing some of our sales. In the large enterprise market, the customer’s decision to use our platform can sometimes be an enterprise-wide decision, in which case, we will likely be required to provide greater levels of customer education to familiarize potential customers with the use and benefits of our platform, as well as training and support. In addition, larger enterprises may demand more customization, integration and support services, and features. As a result of these factors, these sales opportunities may require us to devote greater sales, research and development, and customer support resources to these customers, resulting in increased costs, lengthened sales cycles, and diversion of our own sales and professional services resources to a smaller number of larger customers. Moreover, these larger subscription plans may require us to delay revenue recognition on some of these transactions until the technical</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or implementation requirements have been met. If our efforts to sell to organizations of all sizes are not successful or do not generate additional revenues, our business, results of operations, and financial condition would suffer.</w:t>
      </w:r>
    </w:p>
    <w:p>
      <w:pPr>
        <w:spacing w:after="0" w:line="170"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In addition, we believe that many of our new customers originate from word-of-mouth and other non-paid referrals from existing customers, so we must ensure that our existing customers remain loyal to our platform in order to continue receiving those referrals. Our ability to attract new customers and increase revenues from existing paying customers depends in large part on our ability to continually enhance and improve our platform and the features, integrations, and capabilities we offer, and to introduce compelling new features, integrations, and capabilities that reflect the changing nature of our market in order to maintain and improve the quality and value of our platform. Accordingly, we must continue to invest in research and development and in our ongoing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and capabilities that we develop may not be introduced in a timely or cost-effective manner, may contain errors, failures, vulnerabilities, or bugs, or may not achieve the market acceptance necessary to generate significant revenues.</w:t>
      </w:r>
    </w:p>
    <w:p>
      <w:pPr>
        <w:spacing w:after="0" w:line="166"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Moreover, our business is subscription based, and customers are not obligated to and may not renew their subscriptions after their existing subscriptions expire, and we cannot ensure that customers will renew subscriptions with a similar contract period, with the same or greater number of users, or for the same level of subscription plan or upgrade to Business and Enterprise plans. Customers may or may not renew their subscription plans as a result of a number of factors, including their satisfaction or dissatisfaction with our platform, our pricing or pricing structure, the pricing or capabilities of the products and services offered by our competitors, the effects of general economic conditions, or customers’ budgetary constraints. If customers do not renew their subscriptions, renew on less favorable terms, or fail to add more individuals, teams, and organizations, or if we fail to upgrade individuals, teams, and organizations to our paid subscription plans, or expand the adoption of our platform within organizations, our revenues may decline or grow less quickly than anticipated, which would harm our business, results of operations,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One of our marketing strategies is to offer free and trial subscription plans, and we may not be able to continue to realize the benefits of this strategy.</w:t>
      </w:r>
    </w:p>
    <w:p>
      <w:pPr>
        <w:spacing w:after="0" w:line="152"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We offer free and trial subscription plans to promote brand awareness and organic adoption of our platform. Historically, only a small percentage of individuals, teams, and organizations using our free and trial subscription plans has converted into one of our paid subscription plans. Our marketing strategy depends in part on individuals, teams, and organizations who use our free and trial versions of our platform convincing others within their organizations to use Asana and to become paying customers. To the extent that increasing numbers of these individuals, teams, and organizations do not become, or lead others to become, paying customers, we will not realize the intended benefits of this marketing strategy, we will continue to pay the costs associated with hosting such free and trial versions, our ability to grow our business will be harmed, and our business, results of operations, and financial condition will suffer.</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derive, and expect to continue to derive, substantially all of our revenues from a single product.</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derive, and expect to continue to derive, substantially all of our revenues from a single product. As such, the continued growth in market demand for and market acceptance, including international market acceptance, of our platform is critical to our continued success. Demand for our platform is affected by a number of factors, some of which are beyond our control, such as the rate of market adoption of work management solutions; the timing of development and release of competing new products; the development and acceptance of new features, integrations, and capabilities for our platform; price, product, and service changes by us or our competitors; technological changes and developments within the markets we serve; growth, contraction, and rapid evolution of our market; and general economic conditions and trends. If we are unable to continue to meet the demands 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individuals, teams, and organizations or trends in preferences for work management solutions or to achieve more widespread market acceptance of our platform, our business, results of operations, and financial condition would be harmed. Changes in preferences of our current or potential customers may have a disproportionately greater impact on us than if we offered multiple products. In addition, some current and potential customers, particularly larger organizations, may develop or acquire their own tools or continue to rely on traditional tools and software for their work management solutions, which would reduce or eliminate their demand for our platform. If demand for our platform declines for any of these or other reasons, our business, results of operations, and financial condition would be adversely affected.</w:t>
      </w:r>
    </w:p>
    <w:p>
      <w:pPr>
        <w:spacing w:after="0" w:line="286"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b w:val="1"/>
          <w:bCs w:val="1"/>
          <w:i w:val="1"/>
          <w:iCs w:val="1"/>
          <w:color w:val="auto"/>
        </w:rPr>
        <w:t>If the market for work management solutions develops more slowly than we expect or declines, our business would be adversely affected, and the estimates of market opportunity and forecasts of market growth included in this prospectus may prove to be inaccurate.</w:t>
      </w:r>
    </w:p>
    <w:p>
      <w:pPr>
        <w:spacing w:after="0" w:line="16"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It is uncertain whether work management solutions will achieve and sustain high levels of customer demand and market acceptance given the relatively early stage of development of this market. Our success will depend to a substantial extent on the widespread adoption of work management solutions generally. Individuals and organizations may be reluctant or unwilling to migrate to work management solutions from spreadsheets, email, messaging, and legacy project management tools. It is difficult to predict adoption rates and demand for our platform, the future growth rate and size of the market for work management solutions, or the entry of competitive offerings. The expansion of the work management solutions market depends on a number of factors, including the cost, performance, and perceived value associated with work management solutions. If work management solutions do not achieve widespread adoption, or there is a reduction in demand for work management solutions caused by a lack of customer acceptance, technological challenges, weakening economic conditions, security or privacy concerns, competing technologies and products, decreases in corporate spending, or otherwise, it could result in decreased revenues, and our business, results of operations, and financial condition would be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industry, and competition presents an ongoing threat to the success of our business.</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The market for work management solutions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Our competition addresses the project management and work management categories, including, but not limited to, solutions relating to email, messaging, and spreadsheets. Our competitors generally fall into the following groups: companies specifically offering work management solutions, such as Smartsheet Inc. and monday.com Ltd.; companies offering productivity suites, such as Microsoft Corporation, or Microsoft, and Alphabet, Inc., or Google; and companies specializing in vertical solutions that address a portion of our market, such as Atlassian Corporation Plc for developers.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ability to compete depends upon many factors both within and beyond our control, including the following:</w:t>
      </w:r>
    </w:p>
    <w:p>
      <w:pPr>
        <w:spacing w:after="0" w:line="131" w:lineRule="exact"/>
        <w:rPr>
          <w:sz w:val="20"/>
          <w:szCs w:val="20"/>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adaptability of our platform to a broad range of use cases;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market acceptance of our platform and the timing and market acceptance of new features and enhancements to our platform or the offerings of our competitors;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ease of use, performance, price, security, and reliability of solutions developed either by us or our competitors;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brand strength;</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selling and marketing efforts, including our ability to grow our market share domestically and internationally;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size and diversity of our customer base;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customer support efforts; and</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continue to create easy to use integrations for, and robust, effective partnerships with, other larger enterprise software solutions and tools.</w:t>
      </w:r>
    </w:p>
    <w:p>
      <w:pPr>
        <w:spacing w:after="0" w:line="170"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Many of our current and potential competitors may have longer operating histories, greater brand name recognition, stronger and more extensive partner relationships, significantly greater financial, technical, marketing, and other resources, lower labor and development costs, and larger customer bases than we do. These competitors may engage in more extensive research and development efforts, undertake more far-reaching marketing campaigns, and adopt more aggressive pricing policies that will allow them to build larger customer bases than we have. In addition, some of our potential customers may elect to develop their own internal applications for their work management needs.</w:t>
      </w:r>
    </w:p>
    <w:p>
      <w:pPr>
        <w:spacing w:after="0" w:line="176" w:lineRule="exact"/>
        <w:rPr>
          <w:sz w:val="20"/>
          <w:szCs w:val="20"/>
          <w:color w:val="auto"/>
        </w:rPr>
      </w:pPr>
    </w:p>
    <w:p>
      <w:pPr>
        <w:jc w:val="both"/>
        <w:ind w:right="40" w:firstLine="449"/>
        <w:spacing w:after="0" w:line="287" w:lineRule="auto"/>
        <w:rPr>
          <w:sz w:val="20"/>
          <w:szCs w:val="20"/>
          <w:color w:val="auto"/>
        </w:rPr>
      </w:pPr>
      <w:r>
        <w:rPr>
          <w:rFonts w:ascii="Arial" w:cs="Arial" w:eastAsia="Arial" w:hAnsi="Arial"/>
          <w:sz w:val="16"/>
          <w:szCs w:val="16"/>
          <w:color w:val="auto"/>
        </w:rPr>
        <w:t>The work management solutions market is rapidly evolving and highly competitive, with relatively low barriers to entry, and in the future there will likely be an increasing number of similar solutions offered by additional competitors. Large companies we do not currently consider to be competitors may enter the market, through acquisitions or through innovation and expansion of their existing solutions, to compete with us either directly or indirectly.</w:t>
      </w:r>
    </w:p>
    <w:p>
      <w:pPr>
        <w:spacing w:after="0" w:line="2"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Further, our potential and existing competitors may make acquisitions or enter into strategic relationships and rapidly acquire significant market share due to a larger customer base, superior product offering, more effective sales and marketing operations, or greater financial, technical, and other resources.</w:t>
      </w:r>
    </w:p>
    <w:p>
      <w:pPr>
        <w:spacing w:after="0" w:line="138"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Any one of these competitive pressures in our market, or our failure to compete effectively, may result in price reductions; fewer customers; reduced revenues, gross profit, and gross margin; increased net losses; and loss of market share. Any failure to meet and address these factors would harm our business, results of operations, and financial condition.</w:t>
      </w:r>
    </w:p>
    <w:p>
      <w:pPr>
        <w:spacing w:after="0" w:line="2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direct sales capabilities would harm our ability to expand usage of our platform within our customer base and achieve broader market acceptance of our platform.</w:t>
      </w:r>
    </w:p>
    <w:p>
      <w:pPr>
        <w:spacing w:after="0" w:line="62"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Our ability to expand usage of our platform within our customer base and achieve broader market acceptance among businesses will depend to a significant extent on our ability to expand our sales operations successfully, particularly our direct sales efforts targeted at broadening use of our platform across departments and entire organizations. We plan to continue expanding our direct sales force, both domestically and internationally, to expand use of our platform within our customer base, and reach larger teams and organizations. This expansion will require us to continue to invest significant financial and other resources to train and grow our direct sales force in order to complement our self-service go-to-market approach. Our business, results of operations, and financial condition will be harmed if our efforts do not generate a corresponding increase in revenues. We may not achieve anticipated revenue growth from expanding our direct sales force if we are unable to hire and develop talented direct sales personnel, if our new direct sales personnel are unable to achieve desired productivity levels in a reasonable period of time, or if we are unable to retain our existing direct sales personnel. We believe that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w:t>
      </w:r>
    </w:p>
    <w:p>
      <w:pPr>
        <w:spacing w:after="0" w:line="2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loss of one or more of our key personnel, in particular our co-founder, President, Chief Executive Officer, and Chair, Dustin Moskovitz, would harm our business.</w:t>
      </w:r>
    </w:p>
    <w:p>
      <w:pPr>
        <w:spacing w:after="0" w:line="62"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Our success depends largely upon the continued services and performance of our senior management and other key personnel. From time to time, there may be changes in our senior management team resulting from the hiring or departure of executives and key employees, which could disrupt our business. Our senior management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and key employees are employed on an at-will basis. We currently do not have “key person” insurance on any of our employees. The loss of key personnel, including our co-founder, President, Chief Executive Officer, and Chair, Dustin Moskovitz, and other key members of management, as well as our product development, engineering, sales, and marketing personnel, would disrupt our operations and have an adverse effect on our ability to grow our business. Changes in our senior management team may also cause disruptions in, and harm to, our business, results of operations, and financial condition.</w:t>
      </w:r>
    </w:p>
    <w:p>
      <w:pPr>
        <w:spacing w:after="0" w:line="26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must continue to attract and retain highly qualified personnel in very competitive markets to continue to execute on our business strategy and growth plans.</w:t>
      </w:r>
    </w:p>
    <w:p>
      <w:pPr>
        <w:spacing w:after="0" w:line="62"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To execute our business model, we must attract and retain highly qualified personnel. Competition for executive officers, software engineers, sales personnel, and other key personnel in our industry and in the San Francisco Bay Area, where our headquarters is located, and in other locations where we maintain offices, is intense. As we become a more mature company, we may find our recruiting efforts more challenging. The incentives to attract, retain, and motivate employees provided by our stock options and other equity awards, or by other compensation arrangements, may not be as effective as in the past. Many of the companies with which we compete for experienced personnel have greater resources than we have. If we do not succeed in attracting excellent personnel or retaining or motivating existing personnel, we may be unable to innovate quickly enough to support our business model or grow effectively.</w:t>
      </w:r>
    </w:p>
    <w:p>
      <w:pPr>
        <w:spacing w:after="0" w:line="3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failure to protect our sites, networks, and systems against security breaches, or otherwise to protect our confidential information or the confidential information of our users, customers, or other third parties, would damage our reputation and brand, and substantially harm our business and results of operations.</w:t>
      </w:r>
    </w:p>
    <w:p>
      <w:pPr>
        <w:spacing w:after="0" w:line="76"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Breaches of our security measures or those of our third-party service providers or cyber security incidents would result in unauthorized access to our sites, networks, systems, and accounts; unauthorized access to, and misappropriation of, individuals’ personal information or other confidential or proprietary information of ourselves, our customers, or other third parties; viruses, worms, spyware, or other malware being served from our platform, mobile application, networks, or systems; deletion or modification of content or the display of unauthorized content on our platform;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or litigation, regulatory action, and other potential liabilities. If any of these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and we could be exposed to risk of loss, litigation or regulatory action, and other potential liability. Actual or anticipated security breaches or attacks may cause us to incur increasing costs, including costs to deploy additional personnel and protection technologies, train employees, and engage third-party experts and consultants.</w:t>
      </w:r>
    </w:p>
    <w:p>
      <w:pPr>
        <w:spacing w:after="0" w:line="172"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We continue to devote significant resources to protect against security breaches, and we may need to devote significant resources in the future to address problems caused by breaches, including notifying affected subscribers and responding to any resulting litigation, which in turn, diverts resources from the growth and expansion of our business.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62" w:lineRule="exact"/>
        <w:rPr>
          <w:sz w:val="20"/>
          <w:szCs w:val="20"/>
          <w:color w:val="auto"/>
        </w:rPr>
      </w:pPr>
    </w:p>
    <w:p>
      <w:pPr>
        <w:ind w:right="120" w:firstLine="449"/>
        <w:spacing w:after="0" w:line="271" w:lineRule="auto"/>
        <w:rPr>
          <w:sz w:val="20"/>
          <w:szCs w:val="20"/>
          <w:color w:val="auto"/>
        </w:rPr>
      </w:pPr>
      <w:r>
        <w:rPr>
          <w:rFonts w:ascii="Arial" w:cs="Arial" w:eastAsia="Arial" w:hAnsi="Arial"/>
          <w:sz w:val="17"/>
          <w:szCs w:val="17"/>
          <w:color w:val="auto"/>
        </w:rPr>
        <w:t>We may experience system slowdowns and interruptions from time to time. In addition, continued growth in our customer base could place additional demands on our platform and could cause or exacerbate slowdowns or interrupt the availability of our platform. If there is a substantial increase in the volume of usage on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users are not able to access our platform or encounter slowdowns when doing so, we may lose customers or partners. In order to remain competitive, we must continue to enhance and improve the responsiveness, functionality, and features of our platform. Our disaster recovery plan may not be sufficient to address all aspects or any unanticipated consequence or incidents, and our insurance may not be sufficient to compensate us for the losses that could occur.</w:t>
      </w:r>
    </w:p>
    <w:p>
      <w:pPr>
        <w:spacing w:after="0" w:line="178"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Moreover, Amazon Web Services, or AWS, provides the cloud computing infrastructure that we use to host our platform, mobile application, and many of the internal tools we use to operate our business. We have a long-term commitment with AWS, and our platform, mobile application, and internal tools use computing, storage capabilities, bandwidth, and other services provided by AWS. Any significant disruption of, limitation of our access to, or other interference with our use of AWS would negatively impact our operations and could seriously harm our business. In addition, any transition of the cloud services currently provided by AWS to another cloud services provider would require significant time and expense and could disrupt or degrade delivery of our platform. Our business relies on the availability of our platform for our users and customers, and we may lose users or customers if they are not able to access our platform or encounter difficulties in doing so. The level of service provided by AWS could affect the availability or speed of our platform, which may also impact the usage of, and our customers’ satisfaction with, our platform and could seriously harm our business and reputation. If AWS increases pricing terms, terminates or seeks to terminate our contractual relationship, establishes more favorable relationships with our competitors, or changes or interprets its terms of service or policies in a manner that is unfavorable with respect to us, our business, results of operations, and financial condition could be harmed.</w:t>
      </w:r>
    </w:p>
    <w:p>
      <w:pPr>
        <w:spacing w:after="0" w:line="290" w:lineRule="exact"/>
        <w:rPr>
          <w:sz w:val="20"/>
          <w:szCs w:val="20"/>
          <w:color w:val="auto"/>
        </w:rPr>
      </w:pPr>
    </w:p>
    <w:p>
      <w:pPr>
        <w:jc w:val="right"/>
        <w:ind w:right="420"/>
        <w:spacing w:after="0" w:line="361" w:lineRule="auto"/>
        <w:rPr>
          <w:sz w:val="20"/>
          <w:szCs w:val="20"/>
          <w:color w:val="auto"/>
        </w:rPr>
      </w:pPr>
      <w:r>
        <w:rPr>
          <w:rFonts w:ascii="Arial" w:cs="Arial" w:eastAsia="Arial" w:hAnsi="Arial"/>
          <w:sz w:val="16"/>
          <w:szCs w:val="16"/>
          <w:b w:val="1"/>
          <w:bCs w:val="1"/>
          <w:i w:val="1"/>
          <w:iCs w:val="1"/>
          <w:color w:val="auto"/>
        </w:rPr>
        <w:t xml:space="preserve">Real or perceived errors, failures, vulnerabilities, or bugs in our platform would harm our business, results of operations, and financial condition. </w:t>
      </w:r>
      <w:r>
        <w:rPr>
          <w:rFonts w:ascii="Arial" w:cs="Arial" w:eastAsia="Arial" w:hAnsi="Arial"/>
          <w:sz w:val="16"/>
          <w:szCs w:val="16"/>
          <w:color w:val="auto"/>
        </w:rPr>
        <w:t>The software technology underlying and integrating with our platform is inherently complex and may contain material defects or errors. Errors,</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failures, vulnerabilities, or bugs have in the past, and may in the future, occur in our platform and mobile application, especially when updates are deployed or new features, integrations, or capabilities are rolled out. Any such errors, failures, vulnerabilities, or bugs may not be found until after new features, integrations, or capabilities have been released. Furthermore, we will need to ensure that our platform can scale to meet the evolving needs of customers, particularly as we increase our focus on larger teams and organizations. Real or perceived errors, failures, vulnerabilities, or bugs in our platform and mobile application could result in an interruption in the availability of our platform, negative publicity, unfavorable user experience, loss or leaking of personal data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spacing w:after="0" w:line="27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unable to ensure that our platform interoperates with a variety of software applications that are developed by others, including our integration partners, we may become less competitive and our results of operations may be harmed.</w:t>
      </w:r>
    </w:p>
    <w:p>
      <w:pPr>
        <w:spacing w:after="0" w:line="62"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Our platform must integrate with a variety of hardware and software platforms, and we need to continuously modify and enhance our platform to adapt to changes in hardware, software, and browser technologies.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particular, we have developed our platform to be able to easily integrate with third-party applications, including the applications of software providers that compete with us as well as our partners, through the interaction of APIs.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93" w:lineRule="exact"/>
        <w:rPr>
          <w:sz w:val="20"/>
          <w:szCs w:val="20"/>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discontinues or limits our access to its software or APIs;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modifies its terms of service or other policies, including fees charged to, or other restrictions on us, or other application developers;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how information is accessed by us or our customers;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establishes more favorable relationships with one or more of our competitors;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develops or otherwise favors its own competitive offerings over our platform.</w:t>
      </w:r>
    </w:p>
    <w:p>
      <w:pPr>
        <w:spacing w:after="0" w:line="225" w:lineRule="exact"/>
        <w:rPr>
          <w:sz w:val="20"/>
          <w:szCs w:val="20"/>
          <w:color w:val="auto"/>
        </w:rPr>
      </w:pPr>
    </w:p>
    <w:p>
      <w:pPr>
        <w:ind w:right="340" w:firstLine="449"/>
        <w:spacing w:after="0" w:line="291" w:lineRule="auto"/>
        <w:rPr>
          <w:sz w:val="20"/>
          <w:szCs w:val="20"/>
          <w:color w:val="auto"/>
        </w:rPr>
      </w:pPr>
      <w:r>
        <w:rPr>
          <w:rFonts w:ascii="Arial" w:cs="Arial" w:eastAsia="Arial" w:hAnsi="Arial"/>
          <w:sz w:val="16"/>
          <w:szCs w:val="16"/>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66"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Further, our platform includes a mobile application to enable individuals, teams,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Asana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spacing w:after="0" w:line="2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culture has contributed to our success, and if we cannot maintain this culture as we grow, we could lose the high employee engagement fostered by our culture, which could harm our business.</w:t>
      </w:r>
    </w:p>
    <w:p>
      <w:pPr>
        <w:spacing w:after="0" w:line="62"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We believe that a critical component of our success has been our culture. We have invested substantial time and resources in building out our team with an emphasis on shared values and a commitment to diversity and inclusion. As we continue to grow and develop the infrastructure associated with being a public company, we will need to maintain our culture among a larger number of employees dispersed in various geographic regions. Any failure to preserve our culture could negatively affect our future success, including our ability to retain and recruit personnel and to effectively focus on and pursue our mission to help humanity by enabling the world’s teams to work together effortlessly.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62"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We believe that the brand identity that we have developed has significantly contributed to the success of our business. We also believe that maintaining and enhancing the “Asana” brand is critical to expanding our customer base and establishing and maintaining relationships with partners. Successful promotion of our brand will depend largely on the effectiveness of our marketing efforts and on our ability to ensure that our platform remains high-quality, reliable, and useful at competitive prices, as well as with respect to our free and trial versions. Maintaining and enhancing our brand may require us to make substantial investments and these investments may not be successful. If we fail to promote and maintain the “Asana” brand, or if we incur excessive expenses in this effort, our business, results of operations, and financial condition would be adversely affected. We anticipate that, as our market becomes increasingly competitive, maintaining and enhancing our brand may become more difficult and expensive.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will suffer.</w:t>
      </w:r>
    </w:p>
    <w:p>
      <w:pPr>
        <w:spacing w:after="0" w:line="11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While we have designed our platform to be easy to adopt and use, once individuals, teams, and organizations begin using Asana, they rely on our support services to resolve any related issues. High-quality user and customer education and customer experience have been key to the adoption of our platform and for the conversion of individuals, teams, and organizations on our free and trial versions into paying customers. The importance of high-quality customer experience will increase as we expand our business and pursue new customers. For instance, if we do not help organizations on our platform quickly resolve issues and provide effective ongoing user experience at the individual, team, and organizational levels, our ability to convert organizations on our free and trial versions into paying customers will suffer, and our reputation with existing or potential customers will be harmed. Further, our sales are highly dependent on our business reputation and on positive recommendations from existing individuals, teams, and organizations on our platform. Any failure to maintain high-quality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194"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In addition, as we continue to grow our operations and reach a larger and increasingly global customer and user base, we need to be able to provide efficient customer support that meets the needs of organizations on our platform globally at scale. The number of organizations on our platform has grown significantly, which puts additional pressure on our support organization. We will need to hire additional support personnel to provide efficient product support globally at scale, and if we are unable to provide such support, our business, results of operations, and financial condition would be harmed.</w:t>
      </w:r>
    </w:p>
    <w:p>
      <w:pPr>
        <w:spacing w:after="0" w:line="2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62"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Market opportunity estimates and growth forecasts included in this prospectus, including those we have generated ourselves, are subject to significant uncertainty and are based on assumptions and estimates that may not prove to be accurate. Not every organization covered by our market opportunity estimates will necessarily buy work management solutions at all, and some or many of those companies may choose to continue using legacy tools, spreadsheets, email, manual processes, or other tools offered by our competitors. It is impossible to build every product feature that every customer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revenues for us. Even if the market in which we compete meets the size estimates and growth forecasted in this prospectus,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60"/>
          </w:cols>
          <w:pgMar w:left="32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business could fail to grow for a variety of reasons outside of our control, including competition in our industry. If any of these risks materialize, it could adversely affect our results of operations.</w:t>
      </w:r>
    </w:p>
    <w:p>
      <w:pPr>
        <w:spacing w:after="0" w:line="2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62"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will not charge us fees to list our application for download. We are also dependent on these third-party marketplaces to enable us and our users to timely update our mobile application, and to incorporate new features, integrations, and capabilities.</w:t>
      </w:r>
    </w:p>
    <w:p>
      <w:pPr>
        <w:spacing w:after="0" w:line="171"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In addition, Apple Inc.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spacing w:after="0" w:line="2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rely on traditional web search engines to direct traffic to our website. If our website fails to rank prominently in unpaid search results, traffic to our website could decline and our business would be adversely affected.</w:t>
      </w:r>
    </w:p>
    <w:p>
      <w:pPr>
        <w:spacing w:after="0" w:line="6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Our success depends in part on our ability to attract users through unpaid Internet search results on traditional web search engines such as Google. The number of users we attract to our website from search engines is due in large part to how and where our website ranks in unpaid search results.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the number of users directed to our website could reduce our revenues or require us to increase our sales and marketing expenditures.</w:t>
      </w:r>
    </w:p>
    <w:p>
      <w:pPr>
        <w:spacing w:after="0" w:line="2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become subject to intellectual property rights claims and other litigation that are expensive to support, and if resolved adversely, could have a material adverse effect on us.</w:t>
      </w:r>
    </w:p>
    <w:p>
      <w:pPr>
        <w:spacing w:after="0" w:line="62"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There is considerable patent and other intellectual property development activity in our industry. Our competitors, as well as a number of other entities, including non-practicing entities and individuals, may own or claim to own intellectual property relating to our industry.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 The costs of supporting such litigation, regardless of merit,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For example, the terms of a judgment may require us to cease some or all of our operations or require the payment of substantial amounts to</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459"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other party. Any of these events would cause our business and results of operations to be materially and adversely affected as a result.</w:t>
      </w:r>
    </w:p>
    <w:p>
      <w:pPr>
        <w:spacing w:after="0" w:line="225"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spacing w:after="0" w:line="2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intellectual property rights, the value of our brand and other intangible assets may be diminished, and our business may be adversely affected.</w:t>
      </w:r>
    </w:p>
    <w:p>
      <w:pPr>
        <w:spacing w:after="0" w:line="62"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 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Furthermore, the steps we have taken and may take in the future may not prevent misappropriation of our proprietary solutions or technologies, particularly with respect to officers and employees who are no longer employed by us.</w:t>
      </w:r>
    </w:p>
    <w:p>
      <w:pPr>
        <w:spacing w:after="0" w:line="182"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Furthermore, third parties may knowingly or unknowingly infringe or circumvent our intellectual property rights, and we may not be able to prevent infringement without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or maintain the right to use certain of our intellectual property would negatively affect our business.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Our future success and competitive position depends in part upon our ability to obtain or maintain certain intellectual property used in our platform.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be approved or that the claims allowed on any issued patents will be sufficiently broad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protect our technology or platform and provide us with competitive advantages. Furthermore, any issued patents may be challenged, invalidated, or circumvented by third parties.</w:t>
      </w:r>
    </w:p>
    <w:p>
      <w:pPr>
        <w:spacing w:after="0" w:line="170"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Many patent applications in the United States may not be public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which technology would infringe a third-party patent once that patent is issued.</w:t>
      </w:r>
    </w:p>
    <w:p>
      <w:pPr>
        <w:spacing w:after="0" w:line="188"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We also rely on unpatented proprietary technology.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192"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We rely on our trademarks, trade names, and brand names to distinguish our solutions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solutions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1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have in the past and may in the future become subject to legal proceedings and claims that arise in the ordinary course of business. We could be sued or face regulatory action for defamation, civil rights infringement, negligence, intellectual property rights infringement, invasion of privacy, personal injury, product liability, regulatory compliance, or other legal claims relating to information that is published or made available via our platform. Litigation might result in substantial costs and may divert management and key personnel’s attention and resources, which might seriously harm our business, results of operations, and financial condition.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spacing w:after="0" w:line="2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use of “open source” and third-party software could impose unanticipated conditions or restrictions on our ability to commercialize our solutions and could subject us to possible litigation.</w:t>
      </w:r>
    </w:p>
    <w:p>
      <w:pPr>
        <w:spacing w:after="0" w:line="62"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A portion of the technologies we use in our platform and mobile application incorporates “open source” software, and we may incorporate open source software in our platform and mobile application in the future.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320" w:top="459" w:right="3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license such code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and could be subject to significant damages, enjoined from the sale of our platform that contained the open source software, and required to comply with the foregoing conditions, including public release of certain portions of our proprietary source code.</w:t>
      </w:r>
    </w:p>
    <w:p>
      <w:pPr>
        <w:spacing w:after="0" w:line="167" w:lineRule="exact"/>
        <w:rPr>
          <w:sz w:val="20"/>
          <w:szCs w:val="20"/>
          <w:color w:val="auto"/>
        </w:rPr>
      </w:pPr>
    </w:p>
    <w:p>
      <w:pPr>
        <w:jc w:val="both"/>
        <w:ind w:right="100" w:firstLine="449"/>
        <w:spacing w:after="0" w:line="301" w:lineRule="auto"/>
        <w:rPr>
          <w:sz w:val="20"/>
          <w:szCs w:val="20"/>
          <w:color w:val="auto"/>
        </w:rPr>
      </w:pPr>
      <w:r>
        <w:rPr>
          <w:rFonts w:ascii="Arial" w:cs="Arial" w:eastAsia="Arial" w:hAnsi="Arial"/>
          <w:sz w:val="16"/>
          <w:szCs w:val="16"/>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operating results.</w:t>
      </w:r>
    </w:p>
    <w:p>
      <w:pPr>
        <w:spacing w:after="0" w:line="157" w:lineRule="exact"/>
        <w:rPr>
          <w:sz w:val="20"/>
          <w:szCs w:val="20"/>
          <w:color w:val="auto"/>
        </w:rPr>
      </w:pPr>
    </w:p>
    <w:p>
      <w:pPr>
        <w:ind w:right="240" w:firstLine="449"/>
        <w:spacing w:after="0" w:line="293" w:lineRule="auto"/>
        <w:rPr>
          <w:sz w:val="20"/>
          <w:szCs w:val="20"/>
          <w:color w:val="auto"/>
        </w:rPr>
      </w:pPr>
      <w:r>
        <w:rPr>
          <w:rFonts w:ascii="Arial" w:cs="Arial" w:eastAsia="Arial" w:hAnsi="Arial"/>
          <w:sz w:val="16"/>
          <w:szCs w:val="16"/>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Any of the foregoing would disrupt the distribution and sale of subscriptions to our platform and harm our business, results of operations, and financial condition.</w:t>
      </w:r>
    </w:p>
    <w:p>
      <w:pPr>
        <w:spacing w:after="0" w:line="272"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1"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We receive, process, store, and use business and personal information belonging to our users and customers. There are numerous federal, state, local, and foreign laws and regulations regarding data protection and the storing, sharing, use, processing, disclosure, and protection of business and personal information. These laws continue to evolve in scope and are subject to differing interpretations, and may contain inconsistencies or pose conflicts with other legal requirements. We seek to comply with applicable laws, regulations, policies, legal obligations, and industry standards and have developed privacy policies, data processing addenda, and internal privacy procedures to reflect such compliance. However, it is possible that these obligations may be interpreted and applied in a manner that is inconsistent from one jurisdiction to another and may conflict with other rules or our practices. Failure or perceived failure by us to comply with our privacy policies, privacy-related obligations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to users, customers, or other third parties, or our privacy-related legal obligations, or any data compromise that results in the unauthorized release or transfer of business or personal information or other user or customer data, may result in domestic or foreign governmental enforcement actions, fines, litigation, or public statements against us by our users, customers, consumers, regulators, consumer advocacy groups, or others, which would have an adverse effect on our reputation and business. We could also incur significant costs investigating and defending such claims and, if we are found liable, significant damages.</w:t>
      </w:r>
    </w:p>
    <w:p>
      <w:pPr>
        <w:spacing w:after="0" w:line="188" w:lineRule="exact"/>
        <w:rPr>
          <w:sz w:val="20"/>
          <w:szCs w:val="20"/>
          <w:color w:val="auto"/>
        </w:rPr>
      </w:pPr>
    </w:p>
    <w:p>
      <w:pPr>
        <w:ind w:right="20" w:firstLine="449"/>
        <w:spacing w:after="0" w:line="283" w:lineRule="auto"/>
        <w:rPr>
          <w:sz w:val="20"/>
          <w:szCs w:val="20"/>
          <w:color w:val="auto"/>
        </w:rPr>
      </w:pPr>
      <w:r>
        <w:rPr>
          <w:rFonts w:ascii="Arial" w:cs="Arial" w:eastAsia="Arial" w:hAnsi="Arial"/>
          <w:sz w:val="16"/>
          <w:szCs w:val="16"/>
          <w:color w:val="auto"/>
        </w:rPr>
        <w:t>In addition, data protection regulation is an area of increased focus and changing requirements. Any significant change in applicable laws, regulations, or industry practices regarding the use or disclosure of our users’ or customers’ data, or regarding the manner in which the express or implied consent of users or customers for the use and disclosure of such data is obtained, could require us to modify our platform, possibly in a material manner, and may limit our ability to develop new services and features that make use of the data that our users and customers voluntarily share. For example, the General Data Protection Regulation 2016/679, or GDPR, which came into effect in the European Union in May 2018 and superseded prior E.U. data protection legislation, imposes more stringent data protection requirements and provides for greater penalties for noncompliance. The GDPR enhances data protection obligations for processors and controllers of personal information, including, for example, expanded disclosures of requirements, limitations on retention of personal information, mandatory data breach notification requirements, and additional obligations. Non-compliance with the GDPR can trigger fines of up to the greater of €20 million or 4% of our global revenues. While we instituted a GDPR compliance strategy and program that we continue to evaluate and improve as our platform changes and expands, we still do not know how E.U. regulators will interpret or enforce many aspects of</w:t>
      </w:r>
    </w:p>
    <w:p>
      <w:pPr>
        <w:spacing w:after="0" w:line="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GDPR, and some regulators may do so in an inconsistent manner, making such a prediction even more difficult. Further, the United Kingdom has initiated the formal process to leave the European Union, creating uncertainty with regard to the regulation of data protection in the United Kingdom. While the United Kingdom has committed to maintaining data protection laws and regulations designed to be consistent with the GDPR, it remains unclear how data protection law in the United Kingdom will continue to develop once a formal exit occurs, and how data transfers to and from the United Kingdom will be regulated.</w:t>
      </w:r>
    </w:p>
    <w:p>
      <w:pPr>
        <w:spacing w:after="0" w:line="19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Similarly, there are a number of legislative proposals in the United States, at both the federal and state level, and in the European Union and more globally, that could impose new obligations in areas affecting our business, such as e-commerce and other related legislation or liability for copyright infringement by third parties. In addition, some countries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If we are unable to develop and offer products that meet legal requirements or help our users and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platform,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82"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Data protection legislation is also becoming increasingly common in the United States at both the federal and state level. For example, the California Consumer Privacy Act of 2018, or the CCPA, came into effect on January 1, 2020. The CCPA requires companies that process information on California residents to make new disclosures to consumers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While we are positioned as a “service provider” under the CCPA with respect to most of our data activities, have conducted a CCPA compliance review process, and do not currently share data with third parties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 way that would be currently considered a “sale” under the CCPA, regulations from the California attorney general’s office on the specific requirements of the CCPA are still in draft form and compliance with the law remains a moving target. It also remains unclear how stringent the California attorney general’s office will be in enforcing the law, how much private litigation will ensue under the data breach private right of action, and whether existing amendments that are favorable to us that exclude business to business information and employee information from certain of the CCPA’s requirements will remain in effect after January 1, 2021, which would potentially result in additional compliance obligations. Similar laws have been proposed in other states and at the federal level, and if passed, such laws may have potentially conflicting requirements that would make compliance challenging. Additionally, the Federal Trade Commission and many state attorneys general continue to enforce federal and state consumer protection laws against companies for online collection, use, dissemination, and security practices that appear to be unfair or deceptive. We cannot yet determine the impact that future laws, regulations, and standards may have on our business.</w:t>
      </w:r>
    </w:p>
    <w:p>
      <w:pPr>
        <w:spacing w:after="0" w:line="2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our failure to comply with these laws could subject us to criminal penalties or significant fines and harm our business and reputation.</w:t>
      </w:r>
    </w:p>
    <w:p>
      <w:pPr>
        <w:spacing w:after="0" w:line="62"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We are subject to anti-corruption and anti-bribery and similar laws, such as the U.S. Foreign Corrupt Practices Act of 1977, as amended, or the FCPA, the U.S. domestic bribery statute contained in 18 U.S.C. § 201,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2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subject to various export, import, and trade and economic sanction laws and regulations controls that could impair our ability to compete in international markets and subject us to liability for noncompliance.</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Our business activities are subject to various export, import, and trade and economic sanction laws and regulations, including, among others, the U.S. Commerce Department’s Export Administration Regulations and economic and trade sanctions regulations maintained by the U.S. Department of the Treasury’s Office of Foreign Assets Control, which we refer to collectively as Trade Controls. Trade Controls may prohibit or restrict the sale or supply of certain products, including encryption items and other technology, and services to certain governments, persons, entities, countries, and territories, including those that are the target of comprehensive sanctions. We incorporate encryption technology into our platform, which may subject its export outside of the United States to various export authorizations requirements, including licensing, compliance with license exceptions, or other appropriate government authorization, including the filing of an encryption classification request or self-classification report with the U.S. Commerce Department. In addition, various other countries regulate the import and export of certain encryption and other technology, including through import permitting and licensing requirements, and have enacted laws that could limit our ability to distribute our platform or could limit the ability of organizations to use our platform in those countries.</w:t>
      </w:r>
    </w:p>
    <w:p>
      <w:pPr>
        <w:spacing w:after="0" w:line="185"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Until recently, we did not have a comprehensive Trade Controls compliance program, and our platform may have been accessed by users in certain sanctioned countries in violation of Trade Controls. While we continue to review and assess the facts and circumstances surrounding any unauthorized access, we are simultaneously working to implement new controls designed to assist in our compliance with applicable Trade Controls. These controls include the implementation of IP address blocking functionality, screenings of our users against government lists of restricted and prohibited persons, and the development of a global Trade Controls policy. Although we seek to conduct our business in full compliance with Trade Controls, we cannot guarantee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that these mechanisms will be fully effective. Failure to comply could subject us and responsible employees to civil or criminal penalties, government investigation, loss of export privileges, and reputational harm. Further, obtaining the necessary authorizations, including any required licenses, for a particular use of our platform may be time-consuming, is not guaranteed, and may result in the delay or loss of sales opportunities. Furthermore, if our reseller partners fail to obtain required import, export, or re-export licenses or permits, this could result in a violation of law by us, and we may also suffer reputational harm and other negative consequences, including government investigations and penalties.</w:t>
      </w:r>
    </w:p>
    <w:p>
      <w:pPr>
        <w:spacing w:after="0" w:line="176"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In addition, changes in our platform, or future changes in Trade Controls could result in our inability to provide our platform to certain customers or decreased use of our platform by existing or potential customers with international operations. Any decreased use of our platform or mobile application or increased limitations on our ability to export or sell our platform and mobile application would adversely affect our business, results of operations,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to customers outside the United States and our international operations expose us to risks inherent in international sales and operations.</w:t>
      </w:r>
    </w:p>
    <w:p>
      <w:pPr>
        <w:spacing w:after="0" w:line="140"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For fiscal 2020, % of our revenues were generated from customers outside the United States. We have operations in Dublin, London, Munich, Reykjavik, Sydney, Tokyo, and Vancouver, in addition to New York and San Francisco. Operating in international markets requires significant resources and management attention and subjects us to regulatory, economic, and political risks that are different from those in the United States. In addition, we will face risks in doing business internationally that could adversely affect our business and results of operations, including:</w:t>
      </w:r>
    </w:p>
    <w:p>
      <w:pPr>
        <w:spacing w:after="0" w:line="77" w:lineRule="exact"/>
        <w:rPr>
          <w:sz w:val="20"/>
          <w:szCs w:val="20"/>
          <w:color w:val="auto"/>
        </w:rPr>
      </w:pPr>
    </w:p>
    <w:p>
      <w:pPr>
        <w:ind w:left="1000" w:hanging="547"/>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need to localize and adapt our platform for specific countries, including translation into foreign languages and associated expenses;</w:t>
      </w:r>
    </w:p>
    <w:p>
      <w:pPr>
        <w:spacing w:after="0" w:line="142" w:lineRule="exact"/>
        <w:rPr>
          <w:rFonts w:ascii="Arial" w:cs="Arial" w:eastAsia="Arial" w:hAnsi="Arial"/>
          <w:sz w:val="17"/>
          <w:szCs w:val="17"/>
          <w:color w:val="auto"/>
        </w:rPr>
      </w:pPr>
    </w:p>
    <w:p>
      <w:pPr>
        <w:ind w:left="1000" w:right="140" w:hanging="54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data privacy laws that impose different and potentially conflicting obligations with respect to how personal data is processed or require that customer data be stored in a designated territory;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longer accounts receivable payment cycles, and collections issues;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30"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130" w:lineRule="exact"/>
        <w:rPr>
          <w:rFonts w:ascii="Arial" w:cs="Arial" w:eastAsia="Arial" w:hAnsi="Arial"/>
          <w:sz w:val="18"/>
          <w:szCs w:val="18"/>
          <w:color w:val="auto"/>
        </w:rPr>
      </w:pPr>
    </w:p>
    <w:p>
      <w:pPr>
        <w:ind w:left="1000" w:right="600" w:hanging="54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 including employment, tax, privacy, and data protection laws and regulations;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declines in the values of foreign currencies relative to the U.S. dollar;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and potential outcomes of any claims or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tax laws or tax regulations;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regional and local economic and political conditions.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32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risks. These factors and others could harm our ability to increase international revenues and, consequently, would materially impact our business and results of operations.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2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experience excessive fraudulent activity, we could incur substantial costs and lose the right to accept credit cards for payment, which could cause our customer base to decline significantly.</w:t>
      </w:r>
    </w:p>
    <w:p>
      <w:pPr>
        <w:spacing w:after="0" w:line="62" w:lineRule="exact"/>
        <w:rPr>
          <w:sz w:val="20"/>
          <w:szCs w:val="20"/>
          <w:color w:val="auto"/>
        </w:rPr>
      </w:pPr>
    </w:p>
    <w:p>
      <w:pPr>
        <w:ind w:right="80" w:firstLine="449"/>
        <w:spacing w:after="0" w:line="288" w:lineRule="auto"/>
        <w:rPr>
          <w:sz w:val="20"/>
          <w:szCs w:val="20"/>
          <w:color w:val="auto"/>
        </w:rPr>
      </w:pPr>
      <w:r>
        <w:rPr>
          <w:rFonts w:ascii="Arial" w:cs="Arial" w:eastAsia="Arial" w:hAnsi="Arial"/>
          <w:sz w:val="16"/>
          <w:szCs w:val="16"/>
          <w:color w:val="auto"/>
        </w:rPr>
        <w:t>A large portion of our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spacing w:after="0" w:line="2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engage in merger and acquisition activities, which would require significant management attention, disrupt our business, dilute stockholder value, and adversely affect our business, results of operations, and financial condition.</w:t>
      </w:r>
    </w:p>
    <w:p>
      <w:pPr>
        <w:spacing w:after="0" w:line="62"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As part of our business strategy to expand our platform and grow our business in response to changing technologies, customer demand, and competitive pressures, we may in the future make investments or 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customers or investors. We may encounter difficult or unforeseen expenditures in integrating an acquisition, particularly if we cannot retain the key personnel of the acquired company. Existing and potential customers may also delay or reduce their use of our platform due to a concern that the acquisition may decrease effectiveness of our platform (including any newly acquired product). In addition, if we fail to successfully integrate such acquisitions, or the assets, technologies, or personnel associated with such acquisitions, into our company, the business and results of operations of the combined company would be adversely affected.</w:t>
      </w:r>
    </w:p>
    <w:p>
      <w:pPr>
        <w:spacing w:after="0" w:line="18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technology and accurately forecast the financial impact of an acquisition transaction, including accounting charges. We may have to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459" w:right="3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and we cannot be sure that additional financing will be available.</w:t>
      </w:r>
    </w:p>
    <w:p>
      <w:pPr>
        <w:spacing w:after="0" w:line="11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Historically, we have financed our operations and capital expenditures primarily through sales of our capital stock and debt securities that are convertible into our capital stock. 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29" w:lineRule="exact"/>
        <w:rPr>
          <w:sz w:val="20"/>
          <w:szCs w:val="20"/>
          <w:color w:val="auto"/>
        </w:rPr>
      </w:pPr>
    </w:p>
    <w:p>
      <w:pPr>
        <w:jc w:val="both"/>
        <w:ind w:right="160" w:firstLine="449"/>
        <w:spacing w:after="0" w:line="279"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Financial Accounting Standards Board, or FASB, the American Institute of Certified Public Accountants, the Securities and Exchange Commission, or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2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62" w:lineRule="exact"/>
        <w:rPr>
          <w:sz w:val="20"/>
          <w:szCs w:val="20"/>
          <w:color w:val="auto"/>
        </w:rPr>
      </w:pPr>
    </w:p>
    <w:p>
      <w:pPr>
        <w:ind w:right="80" w:firstLine="449"/>
        <w:spacing w:after="0" w:line="268"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In addition to our results determined in accordance with GAAP, we believe certain non-GAAP measures may be useful in evaluating our operating performance. We present certain non-GAAP financial measures in this prospectus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spacing w:after="0" w:line="182"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meet these requirements, we may not be able to remain listed on .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93" w:lineRule="exact"/>
        <w:rPr>
          <w:sz w:val="20"/>
          <w:szCs w:val="20"/>
          <w:color w:val="auto"/>
        </w:rPr>
      </w:pPr>
    </w:p>
    <w:p>
      <w:pPr>
        <w:ind w:right="460" w:firstLine="449"/>
        <w:spacing w:after="0" w:line="296" w:lineRule="auto"/>
        <w:rPr>
          <w:sz w:val="20"/>
          <w:szCs w:val="20"/>
          <w:color w:val="auto"/>
        </w:rPr>
      </w:pPr>
      <w:r>
        <w:rPr>
          <w:rFonts w:ascii="Arial" w:cs="Arial" w:eastAsia="Arial" w:hAnsi="Arial"/>
          <w:sz w:val="16"/>
          <w:szCs w:val="16"/>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spacing w:after="0" w:line="2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could be enacted or existing tax laws or regulations could be applied to us or our customers in a manner that could increase the costs of our platform and harm our business.</w:t>
      </w:r>
    </w:p>
    <w:p>
      <w:pPr>
        <w:spacing w:after="0" w:line="62" w:lineRule="exact"/>
        <w:rPr>
          <w:sz w:val="20"/>
          <w:szCs w:val="20"/>
          <w:color w:val="auto"/>
        </w:rPr>
      </w:pPr>
    </w:p>
    <w:p>
      <w:pPr>
        <w:ind w:right="260" w:firstLine="449"/>
        <w:spacing w:after="0" w:line="311" w:lineRule="auto"/>
        <w:rPr>
          <w:sz w:val="20"/>
          <w:szCs w:val="20"/>
          <w:color w:val="auto"/>
        </w:rPr>
      </w:pPr>
      <w:r>
        <w:rPr>
          <w:rFonts w:ascii="Arial" w:cs="Arial" w:eastAsia="Arial" w:hAnsi="Arial"/>
          <w:sz w:val="16"/>
          <w:szCs w:val="16"/>
          <w:color w:val="auto"/>
        </w:rPr>
        <w:t>Income, sales, use, or other tax laws, statutes, rules, regulations, or ordinances could be enacted or amended at any time (possibly with retroactive effect), and could be applied solely or disproportionately to products and services provided over the internet. These enactments or amendments could reduce our sales activity due to the inherent cost increase the taxes would represent and ultimately harm our results of operations and cash flows.</w:t>
      </w:r>
    </w:p>
    <w:p>
      <w:pPr>
        <w:spacing w:after="0" w:line="149" w:lineRule="exact"/>
        <w:rPr>
          <w:sz w:val="20"/>
          <w:szCs w:val="20"/>
          <w:color w:val="auto"/>
        </w:rPr>
      </w:pPr>
    </w:p>
    <w:p>
      <w:pPr>
        <w:ind w:right="240" w:firstLine="449"/>
        <w:spacing w:after="0" w:line="257" w:lineRule="auto"/>
        <w:rPr>
          <w:sz w:val="20"/>
          <w:szCs w:val="20"/>
          <w:color w:val="auto"/>
        </w:rPr>
      </w:pPr>
      <w:r>
        <w:rPr>
          <w:rFonts w:ascii="Arial" w:cs="Arial" w:eastAsia="Arial" w:hAnsi="Arial"/>
          <w:sz w:val="18"/>
          <w:szCs w:val="18"/>
          <w:color w:val="auto"/>
        </w:rPr>
        <w:t>The application of U.S. federal, state, local, and international tax laws to services provided electronically is unclear and continuously evolving. Existing tax laws, statutes, rules, regulations, or ordinances could be interpreted or applied adversely to us, possibly with retroactive effect, which could require us or our customers to pay additional tax amounts, as well as require us or our customers to pay fines or penalties, as well as interest for past amounts. If we are unsuccessful in collecting such taxes due from our customers, we would be held liable for such costs, thereby adversely affecting our results of operations and harming our business.</w:t>
      </w:r>
    </w:p>
    <w:p>
      <w:pPr>
        <w:spacing w:after="0" w:line="188"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We may be subject to taxation in several jurisdictions around the world with increasingly complex tax laws, the application of which can be uncertain. Although we have not been required to pay income taxes, other than in immaterial amounts in certain foreign jurisdictions to date,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would harm us and our results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may be harmed if we are required to collect sales or other related taxes for subscriptions to our platform in jurisdictions where we have not historically done so.</w:t>
      </w:r>
    </w:p>
    <w:p>
      <w:pPr>
        <w:spacing w:after="0" w:line="62"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 results of operations,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We do not expect to become profitable in the near future, may never achieve profitability, and have incurred substantial net operating losses, or NOLs, during our history. In general, under Sections 382 and 383 of the Internal Revenue Code of 1986, as amended, a corporation that undergoes an “ownership change” is subject to limitations on its ability to utilize its pre-change NOLs or tax credits to offset future taxable income or taxes. For these purposes, an ownership change generally occurs where the aggregate change in stock ownership by one or more stockholders or groups of stockholders owning at least 5% of a corporation’s stock exceeds more than 50 percentage points over a three-year period. While we do not believe we have experienced ownership changes in the past, it is possible we have done so, and we may experience ownership changes in the future as a result of our listing on</w:t>
      </w:r>
    </w:p>
    <w:p>
      <w:pPr>
        <w:spacing w:after="0" w:line="4" w:lineRule="exact"/>
        <w:rPr>
          <w:sz w:val="20"/>
          <w:szCs w:val="20"/>
          <w:color w:val="auto"/>
        </w:rPr>
      </w:pPr>
    </w:p>
    <w:p>
      <w:pPr>
        <w:ind w:right="40" w:firstLine="728"/>
        <w:spacing w:after="0" w:line="260" w:lineRule="auto"/>
        <w:tabs>
          <w:tab w:leader="none" w:pos="8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 subsequent shifts in our stock ownership (some of which shifts are outside our control). As a result, even if we attain profitability, we may be unable to use a material portion of our NOLs and other tax attributes.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exposure to foreign currency exchange rate fluctuations.</w:t>
      </w:r>
    </w:p>
    <w:p>
      <w:pPr>
        <w:spacing w:after="0" w:line="117"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revenues and results of operations due to transactional and translational remeasurement that is reflected in our earnings. Also, fluctuations in the values of foreign currencies relative to the U.S. dollar could make it more difficult to detect underlying trends in our business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152" w:lineRule="exact"/>
        <w:rPr>
          <w:sz w:val="20"/>
          <w:szCs w:val="20"/>
          <w:color w:val="auto"/>
        </w:rPr>
      </w:pPr>
    </w:p>
    <w:p>
      <w:pPr>
        <w:ind w:right="100" w:firstLine="449"/>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revenues and expenses that are not readily apparent from other sources. Significant assumptions and estimates used in preparing our consolidated financial statements include those related to the useful lives and carrying values of long-lived assets, fair value of common stock, stock-based compensation expense, period of benefit for deferred contract acquisition costs,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1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Natural disasters or other catastrophic events may cause damage or disruption to our operations, international commerce, and the global economy, and thus could harm our business. In particular, the developing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459" w:right="3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COVID-19 outbreak, including the reactions of governments, markets, and the general public, may result in a number of adverse consequences for our business, operations, and results of operations, many of which are beyond our control. We have our headquarters and a large employee presence in San Francisco, California, and the west coast of the United States contains active earthquake zones. In the event of a major earthquake, hurricane, or catastrophic event such as fire, power loss, telecommunications failure, cyber-attack, war, or terrorist attack, we may be unable to continue our operations and may endure system interruptions, reputational harm, delays in our platform development, lengthy interruptions in our platform, breaches of data security, and loss of critical data, all of which would harm our business, results of operations, and financial condition. Acts of terrorism would also cause disruptions to the internet or the economy as a whole. In addition, the insurance we maintain would likely not be adequate to cover our losses resulting from disasters or other business interruptions. Our disaster recovery plan may not be sufficient to address all aspects or any unanticipated consequence or incident, and our insurance may not be sufficient to compensate us for the losses that could occur.</w:t>
      </w:r>
    </w:p>
    <w:p>
      <w:pPr>
        <w:spacing w:after="0" w:line="27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under the JOBS Act, and we are permitted to rely on exemptions from certain disclosure requirements. We cannot be certain if the reduced disclosure requirements applicable to emerging growth companies will make our Class A common stock less attractive to investors.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which could be</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long as five years following the completion of our listing on , we may choose to take advantage of certain exemptions from various reporting requirements applicable to other public companies that are not emerging growth companies, including not being required to comply with the auditor attestation requirements of Section 404, reduced PCAOB reporting requirements,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transition periods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listing differs significantly from an underwritten initial public offering.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60" w:type="dxa"/>
            <w:vAlign w:val="bottom"/>
            <w:gridSpan w:val="4"/>
          </w:tcPr>
          <w:p>
            <w:pPr>
              <w:ind w:left="460"/>
              <w:spacing w:after="0"/>
              <w:rPr>
                <w:sz w:val="20"/>
                <w:szCs w:val="20"/>
                <w:color w:val="auto"/>
              </w:rPr>
            </w:pPr>
            <w:r>
              <w:rPr>
                <w:rFonts w:ascii="Arial" w:cs="Arial" w:eastAsia="Arial" w:hAnsi="Arial"/>
                <w:sz w:val="18"/>
                <w:szCs w:val="18"/>
                <w:color w:val="auto"/>
                <w:w w:val="99"/>
              </w:rPr>
              <w:t>This is not an underwritten initial public offering of our Class A common stock. This listing of our Class A common stock on</w:t>
            </w:r>
          </w:p>
        </w:tc>
        <w:tc>
          <w:tcPr>
            <w:tcW w:w="1000" w:type="dxa"/>
            <w:vAlign w:val="bottom"/>
          </w:tcPr>
          <w:p>
            <w:pPr>
              <w:jc w:val="right"/>
              <w:spacing w:after="0"/>
              <w:rPr>
                <w:sz w:val="20"/>
                <w:szCs w:val="20"/>
                <w:color w:val="auto"/>
              </w:rPr>
            </w:pPr>
            <w:r>
              <w:rPr>
                <w:rFonts w:ascii="Arial" w:cs="Arial" w:eastAsia="Arial" w:hAnsi="Arial"/>
                <w:sz w:val="18"/>
                <w:szCs w:val="18"/>
                <w:color w:val="auto"/>
              </w:rPr>
              <w:t>differs from</w:t>
            </w:r>
          </w:p>
        </w:tc>
      </w:tr>
      <w:tr>
        <w:trPr>
          <w:trHeight w:val="230"/>
        </w:trPr>
        <w:tc>
          <w:tcPr>
            <w:tcW w:w="10160" w:type="dxa"/>
            <w:vAlign w:val="bottom"/>
            <w:gridSpan w:val="4"/>
          </w:tcPr>
          <w:p>
            <w:pPr>
              <w:spacing w:after="0"/>
              <w:rPr>
                <w:sz w:val="20"/>
                <w:szCs w:val="20"/>
                <w:color w:val="auto"/>
              </w:rPr>
            </w:pPr>
            <w:r>
              <w:rPr>
                <w:rFonts w:ascii="Arial" w:cs="Arial" w:eastAsia="Arial" w:hAnsi="Arial"/>
                <w:sz w:val="18"/>
                <w:szCs w:val="18"/>
                <w:color w:val="auto"/>
              </w:rPr>
              <w:t>an underwritten initial public offering in several significant ways, which include, but are not limited to, the following:</w:t>
            </w:r>
          </w:p>
        </w:tc>
        <w:tc>
          <w:tcPr>
            <w:tcW w:w="1000" w:type="dxa"/>
            <w:vAlign w:val="bottom"/>
          </w:tcPr>
          <w:p>
            <w:pPr>
              <w:spacing w:after="0"/>
              <w:rPr>
                <w:sz w:val="20"/>
                <w:szCs w:val="20"/>
                <w:color w:val="auto"/>
              </w:rPr>
            </w:pPr>
          </w:p>
        </w:tc>
      </w:tr>
      <w:tr>
        <w:trPr>
          <w:trHeight w:val="323"/>
        </w:trPr>
        <w:tc>
          <w:tcPr>
            <w:tcW w:w="760" w:type="dxa"/>
            <w:vAlign w:val="bottom"/>
          </w:tcPr>
          <w:p>
            <w:pPr>
              <w:ind w:left="460"/>
              <w:spacing w:after="0"/>
              <w:rPr>
                <w:sz w:val="20"/>
                <w:szCs w:val="20"/>
                <w:color w:val="auto"/>
              </w:rPr>
            </w:pPr>
            <w:r>
              <w:rPr>
                <w:rFonts w:ascii="Arial" w:cs="Arial" w:eastAsia="Arial" w:hAnsi="Arial"/>
                <w:sz w:val="18"/>
                <w:szCs w:val="18"/>
                <w:color w:val="auto"/>
              </w:rPr>
              <w:t>•</w:t>
            </w:r>
          </w:p>
        </w:tc>
        <w:tc>
          <w:tcPr>
            <w:tcW w:w="6160" w:type="dxa"/>
            <w:vAlign w:val="bottom"/>
            <w:gridSpan w:val="2"/>
          </w:tcPr>
          <w:p>
            <w:pPr>
              <w:ind w:left="240"/>
              <w:spacing w:after="0"/>
              <w:rPr>
                <w:sz w:val="20"/>
                <w:szCs w:val="20"/>
                <w:color w:val="auto"/>
              </w:rPr>
            </w:pPr>
            <w:r>
              <w:rPr>
                <w:rFonts w:ascii="Arial" w:cs="Arial" w:eastAsia="Arial" w:hAnsi="Arial"/>
                <w:sz w:val="18"/>
                <w:szCs w:val="18"/>
                <w:color w:val="auto"/>
                <w:w w:val="98"/>
              </w:rPr>
              <w:t>There are no underwriters. Consequently, prior to the opening of trading on</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w w:val="96"/>
              </w:rPr>
              <w:t>, there will be no book building process and no price at</w:t>
            </w:r>
          </w:p>
        </w:tc>
      </w:tr>
      <w:tr>
        <w:trPr>
          <w:trHeight w:val="216"/>
        </w:trPr>
        <w:tc>
          <w:tcPr>
            <w:tcW w:w="760" w:type="dxa"/>
            <w:vAlign w:val="bottom"/>
          </w:tcPr>
          <w:p>
            <w:pPr>
              <w:spacing w:after="0"/>
              <w:rPr>
                <w:sz w:val="18"/>
                <w:szCs w:val="18"/>
                <w:color w:val="auto"/>
              </w:rPr>
            </w:pPr>
          </w:p>
        </w:tc>
        <w:tc>
          <w:tcPr>
            <w:tcW w:w="10400" w:type="dxa"/>
            <w:vAlign w:val="bottom"/>
            <w:gridSpan w:val="4"/>
          </w:tcPr>
          <w:p>
            <w:pPr>
              <w:ind w:left="240"/>
              <w:spacing w:after="0"/>
              <w:rPr>
                <w:sz w:val="20"/>
                <w:szCs w:val="20"/>
                <w:color w:val="auto"/>
              </w:rPr>
            </w:pPr>
            <w:r>
              <w:rPr>
                <w:rFonts w:ascii="Arial" w:cs="Arial" w:eastAsia="Arial" w:hAnsi="Arial"/>
                <w:sz w:val="18"/>
                <w:szCs w:val="18"/>
                <w:color w:val="auto"/>
                <w:w w:val="92"/>
              </w:rPr>
              <w:t>which underwriters initially sell shares to the public to help inform efficient and sufficient price discovery with respect to the opening trades</w:t>
            </w:r>
          </w:p>
        </w:tc>
      </w:tr>
      <w:tr>
        <w:trPr>
          <w:trHeight w:val="216"/>
        </w:trPr>
        <w:tc>
          <w:tcPr>
            <w:tcW w:w="76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Arial" w:cs="Arial" w:eastAsia="Arial" w:hAnsi="Arial"/>
                <w:sz w:val="18"/>
                <w:szCs w:val="18"/>
                <w:color w:val="auto"/>
              </w:rPr>
              <w:t>on</w:t>
            </w:r>
          </w:p>
        </w:tc>
        <w:tc>
          <w:tcPr>
            <w:tcW w:w="8600" w:type="dxa"/>
            <w:vAlign w:val="bottom"/>
            <w:gridSpan w:val="2"/>
          </w:tcPr>
          <w:p>
            <w:pPr>
              <w:ind w:left="400"/>
              <w:spacing w:after="0"/>
              <w:rPr>
                <w:sz w:val="20"/>
                <w:szCs w:val="20"/>
                <w:color w:val="auto"/>
              </w:rPr>
            </w:pPr>
            <w:r>
              <w:rPr>
                <w:rFonts w:ascii="Arial" w:cs="Arial" w:eastAsia="Arial" w:hAnsi="Arial"/>
                <w:sz w:val="18"/>
                <w:szCs w:val="18"/>
                <w:color w:val="auto"/>
                <w:w w:val="91"/>
              </w:rPr>
              <w:t>. Therefore, buy and sell orders submitted prior to and at the opening of trading of our Class A common stock on</w:t>
            </w:r>
          </w:p>
        </w:tc>
        <w:tc>
          <w:tcPr>
            <w:tcW w:w="1000" w:type="dxa"/>
            <w:vAlign w:val="bottom"/>
          </w:tcPr>
          <w:p>
            <w:pPr>
              <w:jc w:val="right"/>
              <w:spacing w:after="0"/>
              <w:rPr>
                <w:sz w:val="20"/>
                <w:szCs w:val="20"/>
                <w:color w:val="auto"/>
              </w:rPr>
            </w:pPr>
            <w:r>
              <w:rPr>
                <w:rFonts w:ascii="Arial" w:cs="Arial" w:eastAsia="Arial" w:hAnsi="Arial"/>
                <w:sz w:val="18"/>
                <w:szCs w:val="18"/>
                <w:color w:val="auto"/>
              </w:rPr>
              <w:t>will</w:t>
            </w:r>
          </w:p>
        </w:tc>
      </w:tr>
      <w:tr>
        <w:trPr>
          <w:trHeight w:val="216"/>
        </w:trPr>
        <w:tc>
          <w:tcPr>
            <w:tcW w:w="760" w:type="dxa"/>
            <w:vAlign w:val="bottom"/>
          </w:tcPr>
          <w:p>
            <w:pPr>
              <w:spacing w:after="0"/>
              <w:rPr>
                <w:sz w:val="18"/>
                <w:szCs w:val="18"/>
                <w:color w:val="auto"/>
              </w:rPr>
            </w:pPr>
          </w:p>
        </w:tc>
        <w:tc>
          <w:tcPr>
            <w:tcW w:w="10400" w:type="dxa"/>
            <w:vAlign w:val="bottom"/>
            <w:gridSpan w:val="4"/>
          </w:tcPr>
          <w:p>
            <w:pPr>
              <w:ind w:left="240"/>
              <w:spacing w:after="0"/>
              <w:rPr>
                <w:sz w:val="20"/>
                <w:szCs w:val="20"/>
                <w:color w:val="auto"/>
              </w:rPr>
            </w:pPr>
            <w:r>
              <w:rPr>
                <w:rFonts w:ascii="Arial" w:cs="Arial" w:eastAsia="Arial" w:hAnsi="Arial"/>
                <w:sz w:val="18"/>
                <w:szCs w:val="18"/>
                <w:color w:val="auto"/>
                <w:w w:val="93"/>
              </w:rPr>
              <w:t>not have the benefit of being informed by a published price range or a price at which the underwriters initially sell shares to the public, as</w:t>
            </w:r>
          </w:p>
        </w:tc>
      </w:tr>
      <w:tr>
        <w:trPr>
          <w:trHeight w:val="216"/>
        </w:trPr>
        <w:tc>
          <w:tcPr>
            <w:tcW w:w="760" w:type="dxa"/>
            <w:vAlign w:val="bottom"/>
          </w:tcPr>
          <w:p>
            <w:pPr>
              <w:spacing w:after="0"/>
              <w:rPr>
                <w:sz w:val="18"/>
                <w:szCs w:val="18"/>
                <w:color w:val="auto"/>
              </w:rPr>
            </w:pPr>
          </w:p>
        </w:tc>
        <w:tc>
          <w:tcPr>
            <w:tcW w:w="10400" w:type="dxa"/>
            <w:vAlign w:val="bottom"/>
            <w:gridSpan w:val="4"/>
          </w:tcPr>
          <w:p>
            <w:pPr>
              <w:ind w:left="240"/>
              <w:spacing w:after="0"/>
              <w:rPr>
                <w:sz w:val="20"/>
                <w:szCs w:val="20"/>
                <w:color w:val="auto"/>
              </w:rPr>
            </w:pPr>
            <w:r>
              <w:rPr>
                <w:rFonts w:ascii="Arial" w:cs="Arial" w:eastAsia="Arial" w:hAnsi="Arial"/>
                <w:sz w:val="18"/>
                <w:szCs w:val="18"/>
                <w:color w:val="auto"/>
                <w:w w:val="94"/>
              </w:rPr>
              <w:t>would be the case in an underwritten initial public offering. Moreover, there will be no underwriters assuming risk in connection with the</w:t>
            </w:r>
          </w:p>
        </w:tc>
      </w:tr>
      <w:tr>
        <w:trPr>
          <w:trHeight w:val="216"/>
        </w:trPr>
        <w:tc>
          <w:tcPr>
            <w:tcW w:w="760" w:type="dxa"/>
            <w:vAlign w:val="bottom"/>
          </w:tcPr>
          <w:p>
            <w:pPr>
              <w:spacing w:after="0"/>
              <w:rPr>
                <w:sz w:val="18"/>
                <w:szCs w:val="18"/>
                <w:color w:val="auto"/>
              </w:rPr>
            </w:pPr>
          </w:p>
        </w:tc>
        <w:tc>
          <w:tcPr>
            <w:tcW w:w="10400" w:type="dxa"/>
            <w:vAlign w:val="bottom"/>
            <w:gridSpan w:val="4"/>
          </w:tcPr>
          <w:p>
            <w:pPr>
              <w:ind w:left="240"/>
              <w:spacing w:after="0"/>
              <w:rPr>
                <w:sz w:val="20"/>
                <w:szCs w:val="20"/>
                <w:color w:val="auto"/>
              </w:rPr>
            </w:pPr>
            <w:r>
              <w:rPr>
                <w:rFonts w:ascii="Arial" w:cs="Arial" w:eastAsia="Arial" w:hAnsi="Arial"/>
                <w:sz w:val="18"/>
                <w:szCs w:val="18"/>
                <w:color w:val="auto"/>
                <w:w w:val="94"/>
              </w:rPr>
              <w:t>initial resale of shares of our Class A common stock. Additionally, there is no underwriters’ option to purchase additional shares to help</w:t>
            </w:r>
          </w:p>
        </w:tc>
      </w:tr>
      <w:tr>
        <w:trPr>
          <w:trHeight w:val="230"/>
        </w:trPr>
        <w:tc>
          <w:tcPr>
            <w:tcW w:w="760" w:type="dxa"/>
            <w:vAlign w:val="bottom"/>
          </w:tcPr>
          <w:p>
            <w:pPr>
              <w:spacing w:after="0"/>
              <w:rPr>
                <w:sz w:val="20"/>
                <w:szCs w:val="20"/>
                <w:color w:val="auto"/>
              </w:rPr>
            </w:pPr>
          </w:p>
        </w:tc>
        <w:tc>
          <w:tcPr>
            <w:tcW w:w="6160" w:type="dxa"/>
            <w:vAlign w:val="bottom"/>
            <w:gridSpan w:val="2"/>
          </w:tcPr>
          <w:p>
            <w:pPr>
              <w:ind w:left="240"/>
              <w:spacing w:after="0"/>
              <w:rPr>
                <w:sz w:val="20"/>
                <w:szCs w:val="20"/>
                <w:color w:val="auto"/>
              </w:rPr>
            </w:pPr>
            <w:r>
              <w:rPr>
                <w:rFonts w:ascii="Arial" w:cs="Arial" w:eastAsia="Arial" w:hAnsi="Arial"/>
                <w:sz w:val="18"/>
                <w:szCs w:val="18"/>
                <w:color w:val="auto"/>
                <w:w w:val="95"/>
              </w:rPr>
              <w:t>stabilize, maintain, or affect the trading price of our Class A common stock on</w:t>
            </w:r>
          </w:p>
        </w:tc>
        <w:tc>
          <w:tcPr>
            <w:tcW w:w="4240" w:type="dxa"/>
            <w:vAlign w:val="bottom"/>
            <w:gridSpan w:val="2"/>
          </w:tcPr>
          <w:p>
            <w:pPr>
              <w:jc w:val="right"/>
              <w:ind w:right="170"/>
              <w:spacing w:after="0"/>
              <w:rPr>
                <w:sz w:val="20"/>
                <w:szCs w:val="20"/>
                <w:color w:val="auto"/>
              </w:rPr>
            </w:pPr>
            <w:r>
              <w:rPr>
                <w:rFonts w:ascii="Arial" w:cs="Arial" w:eastAsia="Arial" w:hAnsi="Arial"/>
                <w:sz w:val="18"/>
                <w:szCs w:val="18"/>
                <w:color w:val="auto"/>
              </w:rPr>
              <w:t>immediately after the listing. In an underwritten</w:t>
            </w:r>
          </w:p>
        </w:tc>
      </w:tr>
    </w:tbl>
    <w:p>
      <w:pPr>
        <w:ind w:left="1000" w:right="100"/>
        <w:spacing w:after="0" w:line="255" w:lineRule="auto"/>
        <w:rPr>
          <w:sz w:val="20"/>
          <w:szCs w:val="20"/>
          <w:color w:val="auto"/>
        </w:rPr>
      </w:pPr>
      <w:r>
        <w:rPr>
          <w:rFonts w:ascii="Arial" w:cs="Arial" w:eastAsia="Arial" w:hAnsi="Arial"/>
          <w:sz w:val="18"/>
          <w:szCs w:val="18"/>
          <w:color w:val="auto"/>
        </w:rPr>
        <w:t>initial public offering, the underwriters may engage in “covered” short sales in an amount of shares representing the underwriters’ option to purchase additional shares. To close a covered short position, the underwriters purchase shares in the open market or exercise the underwriters’ option to purchase additional shares. In</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60"/>
          </w:cols>
          <w:pgMar w:left="32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line="285" w:lineRule="auto"/>
        <w:rPr>
          <w:sz w:val="20"/>
          <w:szCs w:val="20"/>
          <w:color w:val="auto"/>
        </w:rPr>
      </w:pPr>
      <w:r>
        <w:rPr>
          <w:rFonts w:ascii="Arial" w:cs="Arial" w:eastAsia="Arial" w:hAnsi="Arial"/>
          <w:sz w:val="16"/>
          <w:szCs w:val="16"/>
          <w:color w:val="auto"/>
        </w:rPr>
        <w:t>determining the source of shares to close the covered short position, the underwriters typically consider, among other things, the price of shares available for purchase in the open market as compared to the price at which they may purchase shares through the underwriters’ option to purchase additional shares. Purchases in the open market to cover short positions, as well as other purchases underwriters may undertake for their own accounts, may have the effect of preventing a decline in the trading price of shares of our Class A common stock. Given that there will be no underwriters’ option to purchase additional shares and no underwriters engaging in stabilizing transactions with respect to the</w:t>
      </w:r>
    </w:p>
    <w:p>
      <w:pPr>
        <w:spacing w:after="0" w:line="2" w:lineRule="exact"/>
        <w:rPr>
          <w:sz w:val="20"/>
          <w:szCs w:val="20"/>
          <w:color w:val="auto"/>
        </w:rPr>
      </w:pPr>
    </w:p>
    <w:p>
      <w:pPr>
        <w:ind w:left="1000" w:right="100"/>
        <w:spacing w:after="0" w:line="265" w:lineRule="auto"/>
        <w:rPr>
          <w:sz w:val="20"/>
          <w:szCs w:val="20"/>
          <w:color w:val="auto"/>
        </w:rPr>
      </w:pPr>
      <w:r>
        <w:rPr>
          <w:rFonts w:ascii="Arial" w:cs="Arial" w:eastAsia="Arial" w:hAnsi="Arial"/>
          <w:sz w:val="17"/>
          <w:szCs w:val="17"/>
          <w:color w:val="auto"/>
        </w:rPr>
        <w:t>trading of our Class A common stock on , there could be greater volatility in the trading price of our Class A common stock during the period immediately following the listing. See also “—The trading price of our Class A common stock may be volatile, and could, upon</w:t>
      </w:r>
    </w:p>
    <w:p>
      <w:pPr>
        <w:ind w:left="1000"/>
        <w:spacing w:after="0"/>
        <w:tabs>
          <w:tab w:leader="none" w:pos="2420" w:val="left"/>
        </w:tabs>
        <w:rPr>
          <w:sz w:val="20"/>
          <w:szCs w:val="20"/>
          <w:color w:val="auto"/>
        </w:rPr>
      </w:pPr>
      <w:r>
        <w:rPr>
          <w:rFonts w:ascii="Arial" w:cs="Arial" w:eastAsia="Arial" w:hAnsi="Arial"/>
          <w:sz w:val="18"/>
          <w:szCs w:val="18"/>
          <w:color w:val="auto"/>
        </w:rPr>
        <w:t>listing on</w:t>
      </w:r>
      <w:r>
        <w:rPr>
          <w:sz w:val="20"/>
          <w:szCs w:val="20"/>
          <w:color w:val="auto"/>
        </w:rPr>
        <w:tab/>
      </w:r>
      <w:r>
        <w:rPr>
          <w:rFonts w:ascii="Arial" w:cs="Arial" w:eastAsia="Arial" w:hAnsi="Arial"/>
          <w:sz w:val="16"/>
          <w:szCs w:val="16"/>
          <w:color w:val="auto"/>
        </w:rPr>
        <w:t>, decline significantly and rapidly.”</w:t>
      </w:r>
    </w:p>
    <w:p>
      <w:pPr>
        <w:spacing w:after="0" w:line="116" w:lineRule="exact"/>
        <w:rPr>
          <w:sz w:val="20"/>
          <w:szCs w:val="20"/>
          <w:color w:val="auto"/>
        </w:rPr>
      </w:pPr>
    </w:p>
    <w:p>
      <w:pPr>
        <w:ind w:left="1000" w:hanging="547"/>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There is not a fixed or determined number of shares of Class A common stock available for sale in connection with the registration and the</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listing. Therefore, there can be no assurance that any Registered Stockholders or other existing stockholders will sell any of their shares of</w:t>
      </w:r>
    </w:p>
    <w:p>
      <w:pPr>
        <w:spacing w:after="0" w:line="32" w:lineRule="exact"/>
        <w:rPr>
          <w:sz w:val="20"/>
          <w:szCs w:val="20"/>
          <w:color w:val="auto"/>
        </w:rPr>
      </w:pPr>
    </w:p>
    <w:p>
      <w:pPr>
        <w:ind w:left="1000" w:right="260"/>
        <w:spacing w:after="0" w:line="281" w:lineRule="auto"/>
        <w:rPr>
          <w:sz w:val="20"/>
          <w:szCs w:val="20"/>
          <w:color w:val="auto"/>
        </w:rPr>
      </w:pPr>
      <w:r>
        <w:rPr>
          <w:rFonts w:ascii="Arial" w:cs="Arial" w:eastAsia="Arial" w:hAnsi="Arial"/>
          <w:sz w:val="16"/>
          <w:szCs w:val="16"/>
          <w:color w:val="auto"/>
        </w:rPr>
        <w:t>Class A common stock, and there may initially be a lack of supply of, or demand for, shares of Class A common stock on . Alternatively, we may have a large number of Registered Stockholders or other existing stockholders who choose to sell their shares of Class A common stock in the near term, resulting in potential oversupply of our Class A common stock, which could adversely impact the</w:t>
      </w:r>
    </w:p>
    <w:p>
      <w:pPr>
        <w:spacing w:after="0" w:line="2" w:lineRule="exact"/>
        <w:rPr>
          <w:sz w:val="20"/>
          <w:szCs w:val="20"/>
          <w:color w:val="auto"/>
        </w:rPr>
      </w:pPr>
    </w:p>
    <w:p>
      <w:pPr>
        <w:ind w:left="1000"/>
        <w:spacing w:after="0"/>
        <w:tabs>
          <w:tab w:leader="none" w:pos="5880" w:val="left"/>
        </w:tabs>
        <w:rPr>
          <w:sz w:val="20"/>
          <w:szCs w:val="20"/>
          <w:color w:val="auto"/>
        </w:rPr>
      </w:pPr>
      <w:r>
        <w:rPr>
          <w:rFonts w:ascii="Arial" w:cs="Arial" w:eastAsia="Arial" w:hAnsi="Arial"/>
          <w:sz w:val="18"/>
          <w:szCs w:val="18"/>
          <w:color w:val="auto"/>
        </w:rPr>
        <w:t>trading price of our Class A common stock once listed on</w:t>
      </w:r>
      <w:r>
        <w:rPr>
          <w:sz w:val="20"/>
          <w:szCs w:val="20"/>
          <w:color w:val="auto"/>
        </w:rPr>
        <w:tab/>
      </w:r>
      <w:r>
        <w:rPr>
          <w:rFonts w:ascii="Arial" w:cs="Arial" w:eastAsia="Arial" w:hAnsi="Arial"/>
          <w:sz w:val="15"/>
          <w:szCs w:val="15"/>
          <w:color w:val="auto"/>
        </w:rPr>
        <w:t>and thereafter.</w:t>
      </w:r>
    </w:p>
    <w:p>
      <w:pPr>
        <w:spacing w:after="0" w:line="116" w:lineRule="exact"/>
        <w:rPr>
          <w:sz w:val="20"/>
          <w:szCs w:val="20"/>
          <w:color w:val="auto"/>
        </w:rPr>
      </w:pPr>
    </w:p>
    <w:p>
      <w:pPr>
        <w:ind w:left="1000" w:right="20" w:hanging="547"/>
        <w:spacing w:after="0" w:line="287"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None of our Registered Stockholders or other existing stockholders have entered into contractual lock-up agreements or other restrictions on transfer. In an underwritten initial public offering, it is customary for an issuer’s officers, directors, and most or all of its other stockholders to enter into a 180-day contractual lock-up arrangement with the underwriters to help promote orderly trading immediately after such initial public offering. Consequently, any of our stockholders, including our directors and officers who own our Class A or Class B common stock and other significant stockholders, may sell any or all of their shares at any time (subject to any restrictions under applicable law, and in the case of shares of Class B common stock, upon conversion of any shares of Class B common stock into Class A common stock at the time of sale), including immediately upon listing. If such sales were to occur in a significant volume in a short period of time following the listing, it may result in an oversupply of our Class A common stock in the market, which could adversely impact the trading price of our Class A common stock. See also “—None of our stockholders are party to any contractual lock-up agreement or other contractual restrictions on transfer. Following our listing, sales of substantial amounts of our Class A common stock in the public markets, or the perception that sales might occur, could cause the trading price of our Class A common stock to decline.”</w:t>
      </w:r>
    </w:p>
    <w:p>
      <w:pPr>
        <w:spacing w:after="0" w:line="77" w:lineRule="exact"/>
        <w:rPr>
          <w:sz w:val="20"/>
          <w:szCs w:val="20"/>
          <w:color w:val="auto"/>
        </w:rPr>
      </w:pPr>
    </w:p>
    <w:p>
      <w:pPr>
        <w:ind w:left="1000" w:right="20" w:hanging="539"/>
        <w:spacing w:after="0" w:line="253" w:lineRule="auto"/>
        <w:tabs>
          <w:tab w:leader="none" w:pos="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We will not conduct a traditional “roadshow” with underwriters prior to the opening of trading of our Class A common stock on . Instead, we will host an investor day and are engaging in certain other investor education meetings. In advance of the investor day, we plan to announce the date for such day over financial news outlets in a manner consistent with typical corporate outreach to investors. We will prepare an electronic presentation for this investor day, which content will be similar to a traditional roadshow presentation. We will make a version of the presentation publicly available, without restrictions, on our website. There can be no guarantee that the investor day and other investor education meetings will be as effective a method of investor education as a traditional “roadshow” conducted in connection with an underwritten initial public offering. As a result, there may not be efficient or sufficient price discovery with respect to our Class A common stock or sufficient demand among potential investors immediately after our listing, which could result in a more volatile trading price of our Class A common stock.</w:t>
      </w:r>
    </w:p>
    <w:p>
      <w:pPr>
        <w:spacing w:after="0" w:line="196"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Such differences from an underwritten initial public offering could result in a volatile trading price for our Class A common stock and uncertain trading volume, which may adversely affect your ability to sell any Class A common stock that you may purchase.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We have agreed to indemnify certain of the Registered Stockholders for certain claims arising in connection with sales under this prospectus. Large indemnity payments would adversely affect our business, results of operations, and financial condition.</w:t>
      </w:r>
    </w:p>
    <w:p>
      <w:pPr>
        <w:spacing w:after="0" w:line="278" w:lineRule="exact"/>
        <w:rPr>
          <w:sz w:val="20"/>
          <w:szCs w:val="20"/>
          <w:color w:val="auto"/>
        </w:rPr>
      </w:pPr>
    </w:p>
    <w:p>
      <w:pPr>
        <w:spacing w:after="0"/>
        <w:tabs>
          <w:tab w:leader="none" w:pos="7400" w:val="left"/>
        </w:tabs>
        <w:rPr>
          <w:sz w:val="20"/>
          <w:szCs w:val="20"/>
          <w:color w:val="auto"/>
        </w:rPr>
      </w:pPr>
      <w:r>
        <w:rPr>
          <w:rFonts w:ascii="Arial" w:cs="Arial" w:eastAsia="Arial" w:hAnsi="Arial"/>
          <w:sz w:val="18"/>
          <w:szCs w:val="18"/>
          <w:b w:val="1"/>
          <w:bCs w:val="1"/>
          <w:i w:val="1"/>
          <w:iCs w:val="1"/>
          <w:color w:val="auto"/>
        </w:rPr>
        <w:t>The trading price of our Class A common stock may be volatile and could, upon listing on</w:t>
      </w:r>
      <w:r>
        <w:rPr>
          <w:sz w:val="20"/>
          <w:szCs w:val="20"/>
          <w:color w:val="auto"/>
        </w:rPr>
        <w:tab/>
      </w:r>
      <w:r>
        <w:rPr>
          <w:rFonts w:ascii="Arial" w:cs="Arial" w:eastAsia="Arial" w:hAnsi="Arial"/>
          <w:sz w:val="15"/>
          <w:szCs w:val="15"/>
          <w:b w:val="1"/>
          <w:bCs w:val="1"/>
          <w:i w:val="1"/>
          <w:iCs w:val="1"/>
          <w:color w:val="auto"/>
        </w:rPr>
        <w:t>, decline significantly and rapidly.</w:t>
      </w:r>
    </w:p>
    <w:p>
      <w:pPr>
        <w:spacing w:after="0" w:line="117"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The listing of our Class A common stock and the registration of the Registered Stockholders’ shares of Class A common stock is a novel process that is not an underwritten initial public offering. We have engaged certain investment banks to serve as our financial advisors. There will be no book building process and no price at which underwriters initially sell shares to the public to help inform efficient and sufficient price discovery with respect to the</w:t>
      </w:r>
    </w:p>
    <w:p>
      <w:pPr>
        <w:spacing w:after="0" w:line="2"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opening trades on the</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Moreover, prior to the opening trade, there will not be a price at which underwriters initially sell shares of Class A common stock to the public as there would be in an underwritten initial public offering. The absence of a predetermined initial public offering price could impact the range of buy and sell</w:t>
      </w:r>
    </w:p>
    <w:p>
      <w:pPr>
        <w:spacing w:after="0" w:line="260" w:lineRule="auto"/>
        <w:rPr>
          <w:sz w:val="20"/>
          <w:szCs w:val="20"/>
          <w:color w:val="auto"/>
        </w:rPr>
      </w:pPr>
      <w:r>
        <w:rPr>
          <w:rFonts w:ascii="Arial" w:cs="Arial" w:eastAsia="Arial" w:hAnsi="Arial"/>
          <w:sz w:val="18"/>
          <w:szCs w:val="18"/>
          <w:color w:val="auto"/>
        </w:rPr>
        <w:t>orders collected by from various broker-dealers. Consequently, upon listing on , the trading price of our Class A common stock may be more volatile than in an underwritten initial public offering and could decline significantly and rapidly.</w:t>
      </w:r>
    </w:p>
    <w:p>
      <w:pPr>
        <w:spacing w:after="0" w:line="185"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Further, if the trading price of our Class A common stock is above the level that investors determine is reasonable for our Class A common stock, some investors may attempt to short our Class A common stock after trading begins, which would create additional downward pressure on the trading price of our Class A common stock, and there will be more ability for such investors to short our Class A common stock in early trading than is typical for an underwritten public offering given the lack of contractual lock-up agreements or other restrictions on transfer.</w:t>
      </w:r>
    </w:p>
    <w:p>
      <w:pPr>
        <w:spacing w:after="0" w:line="171"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The trading price of our Class A common stock following the listing also could be subject to wide fluctuations in response to numerous factors in addition to the ones described in the preceding Risk Factors, many of which are beyond our control, including:</w:t>
      </w:r>
    </w:p>
    <w:p>
      <w:pPr>
        <w:spacing w:after="0" w:line="76" w:lineRule="exact"/>
        <w:rPr>
          <w:sz w:val="20"/>
          <w:szCs w:val="20"/>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shares of our Class A common stock made available for trading;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overall performance of the equity markets and the economy as a whole;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financial projections we may provide to the public or our failure to meet these projections;</w:t>
      </w:r>
    </w:p>
    <w:p>
      <w:pPr>
        <w:spacing w:after="0" w:line="130" w:lineRule="exact"/>
        <w:rPr>
          <w:rFonts w:ascii="Arial" w:cs="Arial" w:eastAsia="Arial" w:hAnsi="Arial"/>
          <w:sz w:val="18"/>
          <w:szCs w:val="18"/>
          <w:color w:val="auto"/>
        </w:rPr>
      </w:pPr>
    </w:p>
    <w:p>
      <w:pPr>
        <w:ind w:left="1000" w:right="220" w:hanging="547"/>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pricing of subscription plans to our platform;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that of our competitors;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anticipated future size or growth rate of our addressable markets;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new products, or of acquisitions, strategic partnerships, joint ventures, or capital-raising activities or commitments, by us or by our competitors;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or departures of board members, management, or key personnel;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1000" w:right="480" w:hanging="547"/>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related to data privacy and cyber security in the United States or globally;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or expectations with respect to sales of shares of our Class A common stock by us or our security holders.</w:t>
      </w:r>
    </w:p>
    <w:p>
      <w:pPr>
        <w:spacing w:after="0" w:line="225"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These fluctuations may be even more</w:t>
      </w:r>
    </w:p>
    <w:p>
      <w:pPr>
        <w:spacing w:after="0" w:line="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pronounced in the trading market for our Class A common stock shortly following the listing of our Class A common stock on as a result of the supply and demand forces described above. In the past, companies that have experienced volatility in the trading price for their stock have been subject to securities class action litigation.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2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upon listing on , may have little or no relationship to the historical sales prices of our capital stock in private transactions, and such private transactions have been limited.</w:t>
      </w:r>
    </w:p>
    <w:p>
      <w:pPr>
        <w:spacing w:after="0" w:line="62" w:lineRule="exact"/>
        <w:rPr>
          <w:sz w:val="20"/>
          <w:szCs w:val="20"/>
          <w:color w:val="auto"/>
        </w:rPr>
      </w:pPr>
    </w:p>
    <w:p>
      <w:pPr>
        <w:ind w:left="460"/>
        <w:spacing w:after="0"/>
        <w:tabs>
          <w:tab w:leader="none" w:pos="4920" w:val="left"/>
        </w:tabs>
        <w:rPr>
          <w:sz w:val="20"/>
          <w:szCs w:val="20"/>
          <w:color w:val="auto"/>
        </w:rPr>
      </w:pPr>
      <w:r>
        <w:rPr>
          <w:rFonts w:ascii="Arial" w:cs="Arial" w:eastAsia="Arial" w:hAnsi="Arial"/>
          <w:sz w:val="18"/>
          <w:szCs w:val="18"/>
          <w:color w:val="auto"/>
        </w:rPr>
        <w:t>Prior to the listing of our Class A common stock on</w:t>
      </w:r>
      <w:r>
        <w:rPr>
          <w:sz w:val="20"/>
          <w:szCs w:val="20"/>
          <w:color w:val="auto"/>
        </w:rPr>
        <w:tab/>
      </w:r>
      <w:r>
        <w:rPr>
          <w:rFonts w:ascii="Arial" w:cs="Arial" w:eastAsia="Arial" w:hAnsi="Arial"/>
          <w:sz w:val="16"/>
          <w:szCs w:val="16"/>
          <w:color w:val="auto"/>
        </w:rPr>
        <w:t>, there has been no public market for our capital stock. There has been limited trading</w:t>
      </w:r>
    </w:p>
    <w:p>
      <w:pPr>
        <w:spacing w:after="0" w:line="23" w:lineRule="exact"/>
        <w:rPr>
          <w:sz w:val="20"/>
          <w:szCs w:val="20"/>
          <w:color w:val="auto"/>
        </w:rPr>
      </w:pPr>
    </w:p>
    <w:p>
      <w:pPr>
        <w:jc w:val="both"/>
        <w:ind w:right="120"/>
        <w:spacing w:after="0" w:line="223" w:lineRule="auto"/>
        <w:rPr>
          <w:sz w:val="20"/>
          <w:szCs w:val="20"/>
          <w:color w:val="auto"/>
        </w:rPr>
      </w:pPr>
      <w:r>
        <w:rPr>
          <w:rFonts w:ascii="Arial" w:cs="Arial" w:eastAsia="Arial" w:hAnsi="Arial"/>
          <w:sz w:val="10"/>
          <w:szCs w:val="10"/>
          <w:color w:val="auto"/>
        </w:rPr>
        <w:t>of our capital stock historically in private transactions. In the section titled “Sale Price History of our Capital Stock,” we have provided the historical sales prices of our capital stock in private transactions. However, we have only recently permitted our capital stock to be transferred in private transactions, and given the limited history of sales, this information may have little or no relation to broader market demand for our Class A common stock and thus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initial trading price of our Class A common stock on once trading begins. As a result, you should not place undue reliance on these historical sales prices as they may differ materially from the opening trading prices and subsequent trading prices of our Class A common stock on . For more information about how the initial listing price on will be determined, see the section titled “Plan of Distribution.”</w:t>
      </w:r>
    </w:p>
    <w:p>
      <w:pPr>
        <w:spacing w:after="0" w:line="292"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b w:val="1"/>
          <w:bCs w:val="1"/>
          <w:i w:val="1"/>
          <w:iCs w:val="1"/>
          <w:color w:val="auto"/>
        </w:rPr>
        <w:t>An active, liquid, and orderly market for our Class A common stock may not develop or be sustained. You may be unable to sell your shares of Class A common stock at or above the price at which you purchased them.</w:t>
      </w:r>
    </w:p>
    <w:p>
      <w:pPr>
        <w:spacing w:after="0" w:line="6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We currently expect our Class A common stock to be listed and traded on . Prior to listing on , there has been no public market for our Class A common stock. Moreover, consistent with Regulation M and other federal securities laws applicable to our listing, we have not consulted with Registered Stockholders or other existing stockholders regarding their desire or plans to sell shares in the public market following the listing or discussed with potential investors their intentions to buy our Class A common stock in the open market. While our Class A common stock may be sold after</w:t>
      </w:r>
    </w:p>
    <w:p>
      <w:pPr>
        <w:spacing w:after="0" w:line="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our listing on by the Registered Stockholders pursuant to this prospectus or by our other existing stockholders in accordance with Rule 144 of the Securities Act of 1933, as amended, or the Securities Act, unlike an underwritten initial public offering, there can be no assurance that any Registered Stockholders or other existing stockholders will sell any of their shares of Class A common stock, and there may initially be a lack of supply of, or demand</w:t>
      </w:r>
    </w:p>
    <w:p>
      <w:pPr>
        <w:spacing w:after="0" w:line="2"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for, Class A common stock on . Conversely, there can be no assurance that the Registered Stockholders and other existing stockholders will not sell all of their shares of Class A common stock, resulting in an oversupply of our Class A common stock on . In the case of a lack of supply of</w:t>
      </w:r>
    </w:p>
    <w:p>
      <w:pPr>
        <w:jc w:val="both"/>
        <w:ind w:right="540"/>
        <w:spacing w:after="0" w:line="255" w:lineRule="auto"/>
        <w:rPr>
          <w:sz w:val="20"/>
          <w:szCs w:val="20"/>
          <w:color w:val="auto"/>
        </w:rPr>
      </w:pPr>
      <w:r>
        <w:rPr>
          <w:rFonts w:ascii="Arial" w:cs="Arial" w:eastAsia="Arial" w:hAnsi="Arial"/>
          <w:sz w:val="18"/>
          <w:szCs w:val="18"/>
          <w:color w:val="auto"/>
        </w:rPr>
        <w:t>our Class A common stock, the trading price of our Class A common stock may rise to an unsustainable level. Further, institutional investors may be discouraged from purchasing our Class A common stock if they are unable to purchase a block of our Class A common stock in the open market in a sufficient size for their investment objectives due to a potential unwillingness of our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existing stockholders to sell a sufficient amount of Class A common stock at the price offered by such institutional investors and the greater influence individual investors have in setting the trading price. If institutional investors are unable to purchase our Class A common stock in a sufficient amount for their investment objectives, the market for our Class A common stock may be more volatile without the influence of long-term institutional investors holding significant amounts of our Class A common stock. In the case of a lack of demand for our Class A common stock, the trading price of our Class A common stock could decline significantly and rapidly after our listing. Therefore, an active, liquid, and orderly trading market for our Class A common stock may not initially develop or be sustained, which could significantly depress the trading price of our Class A common stock and/or result in significant volatility, which could affect your ability to sell your shares of Class A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largest stockholder will have the ability to influence the outcome of director elections and other matters requiring stockholder approval.</w:t>
      </w:r>
    </w:p>
    <w:p>
      <w:pPr>
        <w:spacing w:after="0" w:line="140" w:lineRule="exact"/>
        <w:rPr>
          <w:sz w:val="20"/>
          <w:szCs w:val="20"/>
          <w:color w:val="auto"/>
        </w:rPr>
      </w:pPr>
    </w:p>
    <w:p>
      <w:pPr>
        <w:ind w:right="80" w:firstLine="449"/>
        <w:spacing w:after="0" w:line="286" w:lineRule="auto"/>
        <w:rPr>
          <w:sz w:val="20"/>
          <w:szCs w:val="20"/>
          <w:color w:val="auto"/>
        </w:rPr>
      </w:pPr>
      <w:r>
        <w:rPr>
          <w:rFonts w:ascii="Arial" w:cs="Arial" w:eastAsia="Arial" w:hAnsi="Arial"/>
          <w:sz w:val="16"/>
          <w:szCs w:val="16"/>
          <w:color w:val="auto"/>
        </w:rPr>
        <w:t>Immediately following the effectiveness of the registration statement of which this prospectus forms a part, Dustin Moskovitz, our co-founder, President, Chief Executive Officer, Chair, and largest stockholder, will beneficially own approximately % of our outstanding Class A common stock and Class B common stock, together as a single class, representing % of the voting power of our capital stock as of , 2020. Additionally, if the 3.5% senior mandatory convertible promissory note due 2025 converts into Class B common stock on or before its maturity date, the number of shares of our Class A</w:t>
      </w:r>
    </w:p>
    <w:p>
      <w:pPr>
        <w:spacing w:after="0" w:line="1" w:lineRule="exact"/>
        <w:rPr>
          <w:sz w:val="20"/>
          <w:szCs w:val="20"/>
          <w:color w:val="auto"/>
        </w:rPr>
      </w:pPr>
    </w:p>
    <w:p>
      <w:pPr>
        <w:ind w:left="780" w:right="460" w:hanging="764"/>
        <w:spacing w:after="0" w:line="250" w:lineRule="auto"/>
        <w:rPr>
          <w:sz w:val="20"/>
          <w:szCs w:val="20"/>
          <w:color w:val="auto"/>
        </w:rPr>
      </w:pPr>
      <w:r>
        <w:rPr>
          <w:rFonts w:ascii="Arial" w:cs="Arial" w:eastAsia="Arial" w:hAnsi="Arial"/>
          <w:sz w:val="18"/>
          <w:szCs w:val="18"/>
          <w:color w:val="auto"/>
        </w:rPr>
        <w:t>common stock beneficially owned by Mr. Moskovitz will increase by a number of shares between 11,282,390 and 18,051,810 shares, or</w:t>
      </w:r>
      <w:r>
        <w:rPr>
          <w:sz w:val="20"/>
          <w:szCs w:val="20"/>
          <w:color w:val="auto"/>
        </w:rPr>
        <w:t xml:space="preserve"> </w:t>
      </w:r>
      <w:r>
        <w:rPr>
          <w:rFonts w:ascii="Arial" w:cs="Arial" w:eastAsia="Arial" w:hAnsi="Arial"/>
          <w:sz w:val="18"/>
          <w:szCs w:val="18"/>
          <w:color w:val="auto"/>
        </w:rPr>
        <w:t>and additional percentage points of our voting power, respectively, based on the outstanding shares of our Class A common stock and Class B</w:t>
      </w:r>
    </w:p>
    <w:p>
      <w:pPr>
        <w:spacing w:after="0" w:line="1"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common stock, together as a single class, as of January 31, 2020. Mr. Moskovitz could exert substantial influence over matters requiring approval by our stockholders. This concentration of ownership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dual class structure of our common stock has the effect of concentrating voting control with those stockholders who held our capital stock prior to</w:t>
      </w:r>
    </w:p>
    <w:p>
      <w:pPr>
        <w:spacing w:after="0" w:line="58" w:lineRule="exact"/>
        <w:rPr>
          <w:sz w:val="20"/>
          <w:szCs w:val="20"/>
          <w:color w:val="auto"/>
        </w:rPr>
      </w:pPr>
    </w:p>
    <w:p>
      <w:pPr>
        <w:jc w:val="both"/>
        <w:ind w:right="160"/>
        <w:spacing w:after="0" w:line="281" w:lineRule="auto"/>
        <w:rPr>
          <w:sz w:val="20"/>
          <w:szCs w:val="20"/>
          <w:color w:val="auto"/>
        </w:rPr>
      </w:pPr>
      <w:r>
        <w:rPr>
          <w:rFonts w:ascii="Arial" w:cs="Arial" w:eastAsia="Arial" w:hAnsi="Arial"/>
          <w:sz w:val="16"/>
          <w:szCs w:val="16"/>
          <w:b w:val="1"/>
          <w:bCs w:val="1"/>
          <w:i w:val="1"/>
          <w:iCs w:val="1"/>
          <w:color w:val="auto"/>
        </w:rPr>
        <w:t>the listing of our Class A common stock on , including our founders, directors, executive officers, and their respective affiliates, who held in the aggregate % of the voting power of our capital stock as of , 2020. This ownership will limit or preclude your ability to influence</w:t>
      </w:r>
    </w:p>
    <w:p>
      <w:pPr>
        <w:spacing w:after="0" w:line="1" w:lineRule="exact"/>
        <w:rPr>
          <w:sz w:val="20"/>
          <w:szCs w:val="20"/>
          <w:color w:val="auto"/>
        </w:rPr>
      </w:pPr>
    </w:p>
    <w:p>
      <w:pPr>
        <w:ind w:right="480"/>
        <w:spacing w:after="0" w:line="290" w:lineRule="auto"/>
        <w:rPr>
          <w:sz w:val="20"/>
          <w:szCs w:val="20"/>
          <w:color w:val="auto"/>
        </w:rPr>
      </w:pPr>
      <w:r>
        <w:rPr>
          <w:rFonts w:ascii="Arial" w:cs="Arial" w:eastAsia="Arial" w:hAnsi="Arial"/>
          <w:sz w:val="17"/>
          <w:szCs w:val="17"/>
          <w:b w:val="1"/>
          <w:bCs w:val="1"/>
          <w:i w:val="1"/>
          <w:iCs w:val="1"/>
          <w:color w:val="auto"/>
        </w:rPr>
        <w:t>corporate matters, including the election of directors, amendments of our organizational documents, and any merger, consolidation, sale of all or substantially all of our assets, or other major corporate transaction requiring stockholder approval.</w:t>
      </w:r>
    </w:p>
    <w:p>
      <w:pPr>
        <w:spacing w:after="0" w:line="53" w:lineRule="exact"/>
        <w:rPr>
          <w:sz w:val="20"/>
          <w:szCs w:val="20"/>
          <w:color w:val="auto"/>
        </w:rPr>
      </w:pPr>
    </w:p>
    <w:p>
      <w:pPr>
        <w:ind w:right="540" w:firstLine="449"/>
        <w:spacing w:after="0" w:line="274" w:lineRule="auto"/>
        <w:rPr>
          <w:sz w:val="20"/>
          <w:szCs w:val="20"/>
          <w:color w:val="auto"/>
        </w:rPr>
      </w:pPr>
      <w:r>
        <w:rPr>
          <w:rFonts w:ascii="Arial" w:cs="Arial" w:eastAsia="Arial" w:hAnsi="Arial"/>
          <w:sz w:val="17"/>
          <w:szCs w:val="17"/>
          <w:color w:val="auto"/>
        </w:rPr>
        <w:t>Our Class B common stock has 10 votes per share, and our Class A common stock, which is the stock we are listing on and is being registered pursuant to the registration statement of which this prospectus forms a part, has one vote per share. As of , 2020, our founders,</w:t>
      </w:r>
    </w:p>
    <w:p>
      <w:pPr>
        <w:spacing w:after="0" w:line="268" w:lineRule="auto"/>
        <w:rPr>
          <w:sz w:val="20"/>
          <w:szCs w:val="20"/>
          <w:color w:val="auto"/>
        </w:rPr>
      </w:pPr>
      <w:r>
        <w:rPr>
          <w:rFonts w:ascii="Arial" w:cs="Arial" w:eastAsia="Arial" w:hAnsi="Arial"/>
          <w:sz w:val="17"/>
          <w:szCs w:val="17"/>
          <w:color w:val="auto"/>
        </w:rPr>
        <w:t>directors, executive officers, and their affiliates held in the aggregate % of the voting power of our capital stock. Because of the 10-to-one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w:t>
      </w:r>
    </w:p>
    <w:p>
      <w:pPr>
        <w:spacing w:after="0"/>
        <w:tabs>
          <w:tab w:leader="none" w:pos="6800" w:val="left"/>
          <w:tab w:leader="none" w:pos="10160" w:val="left"/>
        </w:tabs>
        <w:rPr>
          <w:sz w:val="20"/>
          <w:szCs w:val="20"/>
          <w:color w:val="auto"/>
        </w:rPr>
      </w:pPr>
      <w:r>
        <w:rPr>
          <w:rFonts w:ascii="Arial" w:cs="Arial" w:eastAsia="Arial" w:hAnsi="Arial"/>
          <w:sz w:val="18"/>
          <w:szCs w:val="18"/>
          <w:color w:val="auto"/>
        </w:rPr>
        <w:t>one share of Class A common stock upon the date that is the earlier of (i)</w:t>
      </w:r>
      <w:r>
        <w:rPr>
          <w:sz w:val="20"/>
          <w:szCs w:val="20"/>
          <w:color w:val="auto"/>
        </w:rPr>
        <w:tab/>
      </w:r>
      <w:r>
        <w:rPr>
          <w:rFonts w:ascii="Arial" w:cs="Arial" w:eastAsia="Arial" w:hAnsi="Arial"/>
          <w:sz w:val="18"/>
          <w:szCs w:val="18"/>
          <w:color w:val="auto"/>
        </w:rPr>
        <w:t>or (ii) the later of the date that is (x)</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jc w:val="both"/>
        <w:ind w:right="40" w:firstLine="8"/>
        <w:spacing w:after="0" w:line="253" w:lineRule="auto"/>
        <w:tabs>
          <w:tab w:leader="none" w:pos="9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The conversion of Class B common stock to Class A common stock will have the effect, over time, of increasing the relative voting power of those holders of Class B common stock who retain their shares over the long term. As a result, it is possible that, in addition to Mr. Moskovitz, one or more of the persons or entities holding our Class B common stock could gain significant voting control as other holders of Class B common stock sell or otherwise convert their shares into Class A common stock.</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trading price of our Class A common stock.</w:t>
      </w:r>
    </w:p>
    <w:p>
      <w:pPr>
        <w:spacing w:after="0" w:line="117"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We cannot predict whether our dual class structure will result in a lower or more volatile trading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2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None of our stockholders are party to any contractual lock-up agreement or other contractual restrictions on transfer. Following our listing, sales of substantial amounts of our Class A common stock in the public markets, or the perception that sales might occur, could cause the trading price of our Class A common stock to decline.</w:t>
      </w:r>
    </w:p>
    <w:p>
      <w:pPr>
        <w:spacing w:after="0" w:line="76"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In addition to the supply and demand and volatility factors discussed above, sales of a substantial number of shares of our Class A common stock into the public market, particularly sales by our founders, directors, executive officers, and principal stockholders, or the perception that these sales might occur in large quantities, could cause the trading price of our Class A common stock to decline.</w:t>
      </w:r>
    </w:p>
    <w:p>
      <w:pPr>
        <w:spacing w:after="0" w:line="184" w:lineRule="exact"/>
        <w:rPr>
          <w:sz w:val="20"/>
          <w:szCs w:val="20"/>
          <w:color w:val="auto"/>
        </w:rPr>
      </w:pPr>
    </w:p>
    <w:p>
      <w:pPr>
        <w:ind w:left="460"/>
        <w:spacing w:after="0"/>
        <w:tabs>
          <w:tab w:leader="none" w:pos="160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6"/>
          <w:szCs w:val="16"/>
          <w:color w:val="auto"/>
        </w:rPr>
        <w:t>, 2020, giving effect to the conversion of all outstanding shares of our preferred stock to shares of Class B common stock upon the</w:t>
      </w:r>
    </w:p>
    <w:p>
      <w:pPr>
        <w:spacing w:after="0" w:line="23" w:lineRule="exact"/>
        <w:rPr>
          <w:sz w:val="20"/>
          <w:szCs w:val="20"/>
          <w:color w:val="auto"/>
        </w:rPr>
      </w:pPr>
    </w:p>
    <w:p>
      <w:pPr>
        <w:spacing w:after="0"/>
        <w:tabs>
          <w:tab w:leader="none" w:pos="7120" w:val="left"/>
        </w:tabs>
        <w:rPr>
          <w:sz w:val="20"/>
          <w:szCs w:val="20"/>
          <w:color w:val="auto"/>
        </w:rPr>
      </w:pPr>
      <w:r>
        <w:rPr>
          <w:rFonts w:ascii="Arial" w:cs="Arial" w:eastAsia="Arial" w:hAnsi="Arial"/>
          <w:sz w:val="18"/>
          <w:szCs w:val="18"/>
          <w:color w:val="auto"/>
        </w:rPr>
        <w:t>effectiveness of the registration statement of which this prospectus forms a part, we had</w:t>
      </w:r>
      <w:r>
        <w:rPr>
          <w:sz w:val="20"/>
          <w:szCs w:val="20"/>
          <w:color w:val="auto"/>
        </w:rPr>
        <w:tab/>
      </w:r>
      <w:r>
        <w:rPr>
          <w:rFonts w:ascii="Arial" w:cs="Arial" w:eastAsia="Arial" w:hAnsi="Arial"/>
          <w:sz w:val="16"/>
          <w:szCs w:val="16"/>
          <w:color w:val="auto"/>
        </w:rPr>
        <w:t>shares of common stock outstanding, of which</w:t>
      </w:r>
    </w:p>
    <w:p>
      <w:pPr>
        <w:spacing w:after="0" w:line="9" w:lineRule="exact"/>
        <w:rPr>
          <w:sz w:val="20"/>
          <w:szCs w:val="20"/>
          <w:color w:val="auto"/>
        </w:rPr>
      </w:pPr>
    </w:p>
    <w:p>
      <w:pPr>
        <w:ind w:left="780"/>
        <w:spacing w:after="0"/>
        <w:tabs>
          <w:tab w:leader="none" w:pos="3780" w:val="left"/>
        </w:tabs>
        <w:rPr>
          <w:sz w:val="20"/>
          <w:szCs w:val="20"/>
          <w:color w:val="auto"/>
        </w:rPr>
      </w:pPr>
      <w:r>
        <w:rPr>
          <w:rFonts w:ascii="Arial" w:cs="Arial" w:eastAsia="Arial" w:hAnsi="Arial"/>
          <w:sz w:val="18"/>
          <w:szCs w:val="18"/>
          <w:color w:val="auto"/>
        </w:rPr>
        <w:t>are Class B common stock and</w:t>
      </w:r>
      <w:r>
        <w:rPr>
          <w:sz w:val="20"/>
          <w:szCs w:val="20"/>
          <w:color w:val="auto"/>
        </w:rPr>
        <w:tab/>
      </w:r>
      <w:r>
        <w:rPr>
          <w:rFonts w:ascii="Arial" w:cs="Arial" w:eastAsia="Arial" w:hAnsi="Arial"/>
          <w:sz w:val="16"/>
          <w:szCs w:val="16"/>
          <w:color w:val="auto"/>
        </w:rPr>
        <w:t>are Class A common stock, all of which are “restricted securities” (as defined in Rule 144 under the</w:t>
      </w:r>
    </w:p>
    <w:p>
      <w:pPr>
        <w:spacing w:after="0" w:line="9" w:lineRule="exact"/>
        <w:rPr>
          <w:sz w:val="20"/>
          <w:szCs w:val="20"/>
          <w:color w:val="auto"/>
        </w:rPr>
      </w:pPr>
    </w:p>
    <w:p>
      <w:pPr>
        <w:spacing w:after="0"/>
        <w:tabs>
          <w:tab w:leader="none" w:pos="3060" w:val="left"/>
        </w:tabs>
        <w:rPr>
          <w:sz w:val="20"/>
          <w:szCs w:val="20"/>
          <w:color w:val="auto"/>
        </w:rPr>
      </w:pPr>
      <w:r>
        <w:rPr>
          <w:rFonts w:ascii="Arial" w:cs="Arial" w:eastAsia="Arial" w:hAnsi="Arial"/>
          <w:sz w:val="18"/>
          <w:szCs w:val="18"/>
          <w:color w:val="auto"/>
        </w:rPr>
        <w:t>Securities Act). Approximately</w:t>
      </w:r>
      <w:r>
        <w:rPr>
          <w:sz w:val="20"/>
          <w:szCs w:val="20"/>
          <w:color w:val="auto"/>
        </w:rPr>
        <w:tab/>
      </w:r>
      <w:r>
        <w:rPr>
          <w:rFonts w:ascii="Arial" w:cs="Arial" w:eastAsia="Arial" w:hAnsi="Arial"/>
          <w:sz w:val="16"/>
          <w:szCs w:val="16"/>
          <w:color w:val="auto"/>
        </w:rPr>
        <w:t>of these shares may be converted to Class A common stock and then immediately sold either by the Registered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Stockholders pursuant to this prospectus or by our other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existing stockholders under Rule 144 since such shares held by such other stockholders will have been beneficially owned by non-affiliates for at least one year. Moreover, once we have been a reporting company subject to the reporting requirements of Section 13 or Section 15(d) of the Exchange Act for 90 days and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including certain of the shares of Class A common stock covered by this prospectus to the extent not sold hereunder, will be entitled to sell their shares of our Class A common stock subject to volume limitations under Rule 144 and various vesting agreements.</w:t>
      </w:r>
    </w:p>
    <w:p>
      <w:pPr>
        <w:spacing w:after="0" w:line="164" w:lineRule="exact"/>
        <w:rPr>
          <w:sz w:val="20"/>
          <w:szCs w:val="20"/>
          <w:color w:val="auto"/>
        </w:rPr>
      </w:pPr>
    </w:p>
    <w:p>
      <w:pPr>
        <w:jc w:val="center"/>
        <w:ind w:right="80"/>
        <w:spacing w:after="0"/>
        <w:tabs>
          <w:tab w:leader="none" w:pos="740" w:val="left"/>
          <w:tab w:leader="none" w:pos="780" w:val="left"/>
        </w:tabs>
        <w:rPr>
          <w:sz w:val="20"/>
          <w:szCs w:val="20"/>
          <w:color w:val="auto"/>
        </w:rPr>
      </w:pPr>
      <w:r>
        <w:rPr>
          <w:rFonts w:ascii="Arial" w:cs="Arial" w:eastAsia="Arial" w:hAnsi="Arial"/>
          <w:sz w:val="18"/>
          <w:szCs w:val="18"/>
          <w:color w:val="auto"/>
        </w:rPr>
        <w:t>Further, as of</w:t>
      </w:r>
      <w:r>
        <w:rPr>
          <w:sz w:val="20"/>
          <w:szCs w:val="20"/>
          <w:color w:val="auto"/>
        </w:rPr>
        <w:tab/>
      </w:r>
      <w:r>
        <w:rPr>
          <w:rFonts w:ascii="Arial" w:cs="Arial" w:eastAsia="Arial" w:hAnsi="Arial"/>
          <w:sz w:val="18"/>
          <w:szCs w:val="18"/>
          <w:color w:val="auto"/>
        </w:rPr>
        <w:t>, 2020, we had</w:t>
      </w:r>
      <w:r>
        <w:rPr>
          <w:sz w:val="20"/>
          <w:szCs w:val="20"/>
          <w:color w:val="auto"/>
        </w:rPr>
        <w:tab/>
      </w:r>
      <w:r>
        <w:rPr>
          <w:rFonts w:ascii="Arial" w:cs="Arial" w:eastAsia="Arial" w:hAnsi="Arial"/>
          <w:sz w:val="16"/>
          <w:szCs w:val="16"/>
          <w:color w:val="auto"/>
        </w:rPr>
        <w:t>options outstanding that, if fully exercised, would result in the issuance of shares of Class A</w:t>
      </w:r>
    </w:p>
    <w:p>
      <w:pPr>
        <w:spacing w:after="0" w:line="23" w:lineRule="exact"/>
        <w:rPr>
          <w:sz w:val="20"/>
          <w:szCs w:val="20"/>
          <w:color w:val="auto"/>
        </w:rPr>
      </w:pPr>
    </w:p>
    <w:p>
      <w:pPr>
        <w:jc w:val="center"/>
        <w:ind w:right="60"/>
        <w:spacing w:after="0"/>
        <w:tabs>
          <w:tab w:leader="none" w:pos="780" w:val="left"/>
        </w:tabs>
        <w:rPr>
          <w:sz w:val="20"/>
          <w:szCs w:val="20"/>
          <w:color w:val="auto"/>
        </w:rPr>
      </w:pPr>
      <w:r>
        <w:rPr>
          <w:rFonts w:ascii="Arial" w:cs="Arial" w:eastAsia="Arial" w:hAnsi="Arial"/>
          <w:sz w:val="18"/>
          <w:szCs w:val="18"/>
          <w:color w:val="auto"/>
        </w:rPr>
        <w:t>common stock, as well as</w:t>
      </w:r>
      <w:r>
        <w:rPr>
          <w:sz w:val="20"/>
          <w:szCs w:val="20"/>
          <w:color w:val="auto"/>
        </w:rPr>
        <w:tab/>
      </w:r>
      <w:r>
        <w:rPr>
          <w:rFonts w:ascii="Arial" w:cs="Arial" w:eastAsia="Arial" w:hAnsi="Arial"/>
          <w:sz w:val="16"/>
          <w:szCs w:val="16"/>
          <w:color w:val="auto"/>
        </w:rPr>
        <w:t>shares of Class A common stock subject to RSU awards. All of the shares of Class A common stock issuable upon the</w:t>
      </w:r>
    </w:p>
    <w:p>
      <w:pPr>
        <w:spacing w:after="0" w:line="9"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exercise of stock options, subject to RSU awards, and reserved for future issuance under our equity incentive plans, will be registered for public resale under the Securities Act. Accordingly, these shares will be able to be freely sold in the public market upon issuance, subject to applicable vesting requirements and compliance by affiliates with Rule 144.</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securityholders are subject to any contractual lock-up or other restriction on the transfer or sale of their shares.</w:t>
      </w:r>
    </w:p>
    <w:p>
      <w:pPr>
        <w:spacing w:after="0" w:line="225" w:lineRule="exact"/>
        <w:rPr>
          <w:sz w:val="20"/>
          <w:szCs w:val="20"/>
          <w:color w:val="auto"/>
        </w:rPr>
      </w:pPr>
    </w:p>
    <w:p>
      <w:pPr>
        <w:jc w:val="both"/>
        <w:ind w:right="140" w:firstLine="449"/>
        <w:spacing w:after="0" w:line="257" w:lineRule="auto"/>
        <w:rPr>
          <w:sz w:val="20"/>
          <w:szCs w:val="20"/>
          <w:color w:val="auto"/>
        </w:rPr>
      </w:pPr>
      <w:r>
        <w:rPr>
          <w:rFonts w:ascii="Arial" w:cs="Arial" w:eastAsia="Arial" w:hAnsi="Arial"/>
          <w:sz w:val="18"/>
          <w:szCs w:val="18"/>
          <w:color w:val="auto"/>
        </w:rPr>
        <w:t>Following the effectiveness of the registration statement of which this prospectus forms a part, the holders of up to shares of our Class B common stock will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9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p>
    <w:p>
      <w:pPr>
        <w:spacing w:after="0" w:line="62" w:lineRule="exact"/>
        <w:rPr>
          <w:sz w:val="20"/>
          <w:szCs w:val="20"/>
          <w:color w:val="auto"/>
        </w:rPr>
      </w:pPr>
    </w:p>
    <w:p>
      <w:pPr>
        <w:ind w:right="200" w:firstLine="449"/>
        <w:spacing w:after="0" w:line="254" w:lineRule="auto"/>
        <w:rPr>
          <w:sz w:val="20"/>
          <w:szCs w:val="20"/>
          <w:color w:val="auto"/>
        </w:rPr>
      </w:pPr>
      <w:r>
        <w:rPr>
          <w:rFonts w:ascii="Arial" w:cs="Arial" w:eastAsia="Arial" w:hAnsi="Arial"/>
          <w:sz w:val="18"/>
          <w:szCs w:val="18"/>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3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trading price and trading volume could decline if securities or industry analysts do not publish research about our business, or if they publish unfavorable research.</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Equity research analysts do not currently provide coverage of our Class A common stock, and we cannot assure that any equity research analysts will</w:t>
      </w:r>
    </w:p>
    <w:p>
      <w:pPr>
        <w:spacing w:after="0" w:line="4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adequately provide research coverage of our Class A common stock after the listing of our Class A common stock on . A lack of adequate research coverage may harm the liquidity and trading price of our Class A common stock. To the extent equity research analysts do provide research coverage of our Class A common stock, we will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459" w:right="3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62"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As a public company, we will be subject to the reporting requirements of the Exchange Act, the listing standards of ,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 do not have prior experience in running a public company.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that is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compensation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Accordingly, investors must rely on sales of their Class A common stock after price appreciation, which may never occur, as the only way to realize any future gains on their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stock issuances could result in significant dilution to our stockholders.</w:t>
      </w:r>
    </w:p>
    <w:p>
      <w:pPr>
        <w:spacing w:after="0" w:line="117"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RSUs settle, there will be further dilution. The amount of dilution could be substantial depending upon the size of the issuance or exercise. Additionally, in January 2020, we issued and sold to the Dustin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45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Moskovitz Trust, an affiliated trust of Mr. Moskovitz, a 3.5% senior mandatory convertible promissory note due 2025 in the aggregate principal amount of $300.0 million, which will convert into a number of shares of our Class B common stock between 11,282,390 and 18,051,810 shares on or prior to its maturity date. Any such issuances could result in substantial dilution to our existing stockholders and cause the trading price of our Class A common stock to decline.</w:t>
      </w:r>
    </w:p>
    <w:p>
      <w:pPr>
        <w:spacing w:after="0" w:line="295"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p>
    <w:p>
      <w:pPr>
        <w:spacing w:after="0" w:line="16" w:lineRule="exact"/>
        <w:rPr>
          <w:sz w:val="20"/>
          <w:szCs w:val="20"/>
          <w:color w:val="auto"/>
        </w:rPr>
      </w:pPr>
    </w:p>
    <w:p>
      <w:pPr>
        <w:ind w:right="440" w:firstLine="449"/>
        <w:spacing w:after="0" w:line="286" w:lineRule="auto"/>
        <w:rPr>
          <w:sz w:val="20"/>
          <w:szCs w:val="20"/>
          <w:color w:val="auto"/>
        </w:rPr>
      </w:pPr>
      <w:r>
        <w:rPr>
          <w:rFonts w:ascii="Arial" w:cs="Arial" w:eastAsia="Arial" w:hAnsi="Arial"/>
          <w:sz w:val="17"/>
          <w:szCs w:val="17"/>
          <w:color w:val="auto"/>
        </w:rPr>
        <w:t>There are provisions in our restated certificate of incorporation and restated bylaws, as they will be in effect following the effectiveness of the registration statement of which this prospectus forms a part, that may make it difficult for a third party to acquire, or attempt to acquire, control of our company, even if a change in control were considered favorable by our stockholders. These anti-takeover provisions include:</w:t>
      </w:r>
    </w:p>
    <w:p>
      <w:pPr>
        <w:spacing w:after="0" w:line="71" w:lineRule="exact"/>
        <w:rPr>
          <w:sz w:val="20"/>
          <w:szCs w:val="20"/>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ability of our board of directors to determine the number of directors and to fill any vacancies and newly created directorships;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requirement that our directors may only be removed for cause;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prohibition on cumulative voting for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of a super-majority to amend some provisions in our restated certificate of incorporation and restated bylaws;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authorization of the issuance of “blank check” preferred stock that our board of directors could use to implement a stockholder rights plan;</w:t>
      </w:r>
    </w:p>
    <w:p>
      <w:pPr>
        <w:spacing w:after="0" w:line="153" w:lineRule="exact"/>
        <w:rPr>
          <w:rFonts w:ascii="Arial" w:cs="Arial" w:eastAsia="Arial" w:hAnsi="Arial"/>
          <w:sz w:val="16"/>
          <w:szCs w:val="16"/>
          <w:color w:val="auto"/>
        </w:rPr>
      </w:pPr>
    </w:p>
    <w:p>
      <w:pPr>
        <w:ind w:left="1000" w:right="40" w:hanging="547"/>
        <w:spacing w:after="0" w:line="259"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92"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inability of our stockholders to call special meetings of stockholders; and</w:t>
      </w:r>
    </w:p>
    <w:p>
      <w:pPr>
        <w:spacing w:after="0" w:line="130" w:lineRule="exact"/>
        <w:rPr>
          <w:rFonts w:ascii="Arial" w:cs="Arial" w:eastAsia="Arial" w:hAnsi="Arial"/>
          <w:sz w:val="18"/>
          <w:szCs w:val="18"/>
          <w:color w:val="auto"/>
        </w:rPr>
      </w:pPr>
    </w:p>
    <w:p>
      <w:pPr>
        <w:ind w:left="1000" w:right="900" w:hanging="54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prohibition on stockholder actions by written consent, thereby requiring that all stockholder actions be taken at a meeting of our stockholders.</w:t>
      </w:r>
    </w:p>
    <w:p>
      <w:pPr>
        <w:spacing w:after="0" w:line="170"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restated certificate of incorporation, our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6"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will designate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spacing w:after="0" w:line="41"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Our amended and restated certificate of incorporation, as will be in effect following the effectiveness of the registration statement of which this prospectus forms a part, will provide that the Court of Chancery of the State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Furthermore, Section 22 of the Securities Act creates concurrent jurisdiction for federal and state courts over all such Securities Act actions and investors cannot waive compliance with the federal securities laws and the rules and regulations thereunder. However, our amended and restated certificate of incorporation will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81"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These choice of forum provisions may limit a stockholder’s ability to bring a claim in a judicial forum that it finds favorable for disputes with us or our directors, officers, or other employees. If a court were to find either choice of forum provision contained in our amended and restated certificate of incorporation to be inapplicable or unenforceable in an action, we may incur additional costs associated with resolving such action in other jurisdictions.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However, this decision may be reviewed and ultimately overturned by the Delaware Supreme Court. If this ultimate adjudication were to occur, we would enforce the federal district court exclusive forum provision in our amended and restated certificate of incorporation.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459"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449"/>
        <w:spacing w:after="0" w:line="286" w:lineRule="auto"/>
        <w:rPr>
          <w:sz w:val="20"/>
          <w:szCs w:val="20"/>
          <w:color w:val="auto"/>
        </w:rPr>
      </w:pPr>
      <w:r>
        <w:rPr>
          <w:rFonts w:ascii="Arial" w:cs="Arial" w:eastAsia="Arial" w:hAnsi="Arial"/>
          <w:sz w:val="16"/>
          <w:szCs w:val="16"/>
          <w:color w:val="auto"/>
        </w:rPr>
        <w:t>This prospectus contains forward-looking statements. All statements contained in this prospectus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“would,” “expect,”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 Forward-looking statements contained in this prospectus include, but are not limited to, statements about:</w:t>
      </w:r>
    </w:p>
    <w:p>
      <w:pPr>
        <w:spacing w:after="0" w:line="79" w:lineRule="exact"/>
        <w:rPr>
          <w:sz w:val="20"/>
          <w:szCs w:val="20"/>
          <w:color w:val="auto"/>
        </w:rPr>
      </w:pPr>
    </w:p>
    <w:p>
      <w:pPr>
        <w:ind w:left="1000" w:right="10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grow or maintain our dollar-based net retention rate, expand usage of our platform within organizations, and sell subscriptions to our platform;</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convert individuals, teams, and organizations on our free and trial versions into paying customers;</w:t>
      </w:r>
    </w:p>
    <w:p>
      <w:pPr>
        <w:spacing w:after="0" w:line="130"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or by our competitors to their products, or any other changes in the competitive landscape of our market;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achieve widespread acceptance and use of our platform;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growth in the work management market;</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to remain competitive;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focus on growth to drive long-term value;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expenses and our expectations regarding our cost of revenues, gross margin, and operating expenses;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expansion of our sales and marketing activities;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protections against security breaches, technical difficulties, or interruptions to our platform;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ability to successfully defend litigation brought against us, potential dispute-related settlement payments, or other litigation-related costs;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expectations about additional hiring;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pricing pressure as a result of competition or otherwise;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anticipated fluctuations in foreign currency exchange rates;</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costs and the anticipated timing of expenses related to the acquisition of businesses, talent, technologies, or intellectual property, including potentially significant amortization costs and possible write-downs; and</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60"/>
          </w:cols>
          <w:pgMar w:left="32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320" w:hanging="7"/>
        <w:spacing w:after="0" w:line="563" w:lineRule="auto"/>
        <w:tabs>
          <w:tab w:leader="none" w:pos="101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general economic conditions in either domestic or international markets, including geopolitical uncertainty and instability. We caution you that the foregoing list may not contain all of the forward-looking statements made in this prospectus.</w:t>
      </w:r>
    </w:p>
    <w:p>
      <w:pPr>
        <w:spacing w:after="0" w:line="1"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prospectus or to conform these statements to actual results or revised expectations.</w:t>
      </w:r>
    </w:p>
    <w:p>
      <w:pPr>
        <w:spacing w:after="0" w:line="15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This prospectus contains estimates and information concerning our industry, our business, and the market for our platform,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7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source of certain statistical data, estimates, and forecasts contained in this prospectus are the following industry publications or reports that have been prepared by independent third parties:</w:t>
      </w:r>
    </w:p>
    <w:p>
      <w:pPr>
        <w:spacing w:after="0" w:line="76" w:lineRule="exact"/>
        <w:rPr>
          <w:sz w:val="20"/>
          <w:szCs w:val="20"/>
          <w:color w:val="auto"/>
        </w:rPr>
      </w:pPr>
    </w:p>
    <w:p>
      <w:pPr>
        <w:ind w:left="1000" w:right="300" w:hanging="54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International Data Corporation, Inc., Worldwide Collaborative Applications Forecast, 2019-2023: Accelerating Enterprise Collaboration, June 2019</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International Data Corporation, Inc., Worldwide Project and Portfolio Management Forecast, 2019-2023, June 2019</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McKinsey Global Institute, The Social Economy: Unlocking Value and Productivity Through Social Technologies, July 2012</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Forrester Research, Inc., New Technologies Create The Need To Design For New Categories of Information Workers, September 2019</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Forrester Research, Inc., The Forrester Wave</w:t>
      </w:r>
      <w:r>
        <w:rPr>
          <w:rFonts w:ascii="Arial" w:cs="Arial" w:eastAsia="Arial" w:hAnsi="Arial"/>
          <w:sz w:val="14"/>
          <w:szCs w:val="14"/>
          <w:color w:val="auto"/>
        </w:rPr>
        <w:t>™</w:t>
      </w:r>
      <w:r>
        <w:rPr>
          <w:rFonts w:ascii="Arial" w:cs="Arial" w:eastAsia="Arial" w:hAnsi="Arial"/>
          <w:sz w:val="17"/>
          <w:szCs w:val="17"/>
          <w:color w:val="auto"/>
        </w:rPr>
        <w:t>: Collaborative Work Management Tools For The Enterprise, Q4 2018, October 2018</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Culture Amp Pty Ltd, FY20 Annual Engagement Survey (December) for Asana, December 2019</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publicly available reports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60"/>
          </w:cols>
          <w:pgMar w:left="32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Registered Stockholders may, or may not, elect to sell shares of our Class A common stock covered by this prospectus. To the extent any Registered Stockholder chooses to sell shares of our Class A common stock covered by this prospectus, we will not receive any proceeds from any such sales of our Class A common stock. See the section titled “Principal and Registered Stockholders.”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capital stock will be at the discretion of our board of directors and will depend upon, among other factors, our results of operations, financial condition, current and anticipated cash needs, plans for expansion, and other factors that our board of directors may deem relevant.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320" w:top="459" w:right="3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cash, cash equivalents, and marketable securities, and our capitalization as of January 31, 2020 as follows:</w:t>
      </w:r>
    </w:p>
    <w:p>
      <w:pPr>
        <w:spacing w:after="0" w:line="142" w:lineRule="exact"/>
        <w:rPr>
          <w:sz w:val="20"/>
          <w:szCs w:val="20"/>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an actual basis giving effect to the Reclassification; and</w:t>
      </w:r>
    </w:p>
    <w:p>
      <w:pPr>
        <w:spacing w:after="0" w:line="130" w:lineRule="exact"/>
        <w:rPr>
          <w:rFonts w:ascii="Arial" w:cs="Arial" w:eastAsia="Arial" w:hAnsi="Arial"/>
          <w:sz w:val="18"/>
          <w:szCs w:val="18"/>
          <w:color w:val="auto"/>
        </w:rPr>
      </w:pPr>
    </w:p>
    <w:p>
      <w:pPr>
        <w:ind w:left="1000" w:right="84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 pro forma basis, giving effect to the automatic conversion of all outstanding shares of our preferred stock into an aggregate of shares of our Class B common stock, as if such conversion had occurred on January 31, 2020.</w:t>
      </w:r>
    </w:p>
    <w:p>
      <w:pPr>
        <w:spacing w:after="0" w:line="170" w:lineRule="exact"/>
        <w:rPr>
          <w:sz w:val="20"/>
          <w:szCs w:val="20"/>
          <w:color w:val="auto"/>
        </w:rPr>
      </w:pPr>
    </w:p>
    <w:p>
      <w:pPr>
        <w:ind w:right="320" w:firstLine="449"/>
        <w:spacing w:after="0" w:line="342" w:lineRule="auto"/>
        <w:rPr>
          <w:sz w:val="20"/>
          <w:szCs w:val="20"/>
          <w:color w:val="auto"/>
        </w:rPr>
      </w:pPr>
      <w:r>
        <w:rPr>
          <w:rFonts w:ascii="Arial" w:cs="Arial" w:eastAsia="Arial" w:hAnsi="Arial"/>
          <w:sz w:val="16"/>
          <w:szCs w:val="16"/>
          <w:color w:val="auto"/>
        </w:rPr>
        <w:t>You should read this table together with our consolidated financial statements, and the sections titled “Selected Consolidated Financial Data” and “Management’s Discussion and Analysis of Financial Condition and Results of Operations” that are included elsewhere in this prospectus.</w:t>
      </w:r>
    </w:p>
    <w:p>
      <w:pPr>
        <w:spacing w:after="0" w:line="142"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As of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6350</wp:posOffset>
            </wp:positionV>
            <wp:extent cx="13112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ind w:left="9360"/>
        <w:spacing w:after="0"/>
        <w:tabs>
          <w:tab w:leader="none" w:pos="10320" w:val="left"/>
        </w:tabs>
        <w:rPr>
          <w:sz w:val="20"/>
          <w:szCs w:val="20"/>
          <w:color w:val="auto"/>
        </w:rPr>
      </w:pPr>
      <w:r>
        <w:rPr>
          <w:rFonts w:ascii="Arial" w:cs="Arial" w:eastAsia="Arial" w:hAnsi="Arial"/>
          <w:sz w:val="14"/>
          <w:szCs w:val="14"/>
          <w:b w:val="1"/>
          <w:bCs w:val="1"/>
          <w:color w:val="auto"/>
        </w:rPr>
        <w:t>Actual</w:t>
      </w:r>
      <w:r>
        <w:rPr>
          <w:sz w:val="20"/>
          <w:szCs w:val="20"/>
          <w:color w:val="auto"/>
        </w:rPr>
        <w:tab/>
      </w:r>
      <w:r>
        <w:rPr>
          <w:rFonts w:ascii="Arial" w:cs="Arial" w:eastAsia="Arial" w:hAnsi="Arial"/>
          <w:sz w:val="14"/>
          <w:szCs w:val="14"/>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-3175</wp:posOffset>
            </wp:positionV>
            <wp:extent cx="13112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jc w:val="center"/>
        <w:ind w:left="9000"/>
        <w:spacing w:after="0" w:line="222" w:lineRule="auto"/>
        <w:rPr>
          <w:sz w:val="20"/>
          <w:szCs w:val="20"/>
          <w:color w:val="auto"/>
        </w:rPr>
      </w:pPr>
      <w:r>
        <w:rPr>
          <w:rFonts w:ascii="Arial" w:cs="Arial" w:eastAsia="Arial" w:hAnsi="Arial"/>
          <w:sz w:val="14"/>
          <w:szCs w:val="14"/>
          <w:b w:val="1"/>
          <w:bCs w:val="1"/>
          <w:color w:val="auto"/>
        </w:rPr>
        <w:t>(in thousands, except per</w:t>
      </w:r>
    </w:p>
    <w:p>
      <w:pPr>
        <w:jc w:val="center"/>
        <w:ind w:left="9000"/>
        <w:spacing w:after="0" w:line="232" w:lineRule="auto"/>
        <w:rPr>
          <w:sz w:val="20"/>
          <w:szCs w:val="20"/>
          <w:color w:val="auto"/>
        </w:rPr>
      </w:pPr>
      <w:r>
        <w:rPr>
          <w:rFonts w:ascii="Arial" w:cs="Arial" w:eastAsia="Arial" w:hAnsi="Arial"/>
          <w:sz w:val="14"/>
          <w:szCs w:val="14"/>
          <w:b w:val="1"/>
          <w:bCs w:val="1"/>
          <w:color w:val="auto"/>
        </w:rPr>
        <w:t>share values)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Convertible note payable</w:t>
            </w:r>
            <w:r>
              <w:rPr>
                <w:rFonts w:ascii="Arial" w:cs="Arial" w:eastAsia="Arial" w:hAnsi="Arial"/>
                <w:sz w:val="15"/>
                <w:szCs w:val="15"/>
                <w:color w:val="auto"/>
              </w:rPr>
              <w:t>(1)</w:t>
            </w: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Redeemable convertible preferred stock, $0.00001 par value;</w:t>
            </w:r>
          </w:p>
        </w:tc>
        <w:tc>
          <w:tcPr>
            <w:tcW w:w="216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shares authorized,</w:t>
            </w:r>
          </w:p>
        </w:tc>
        <w:tc>
          <w:tcPr>
            <w:tcW w:w="4380" w:type="dxa"/>
            <w:vAlign w:val="bottom"/>
            <w:gridSpan w:val="5"/>
            <w:shd w:val="clear" w:color="auto" w:fill="CCEEFF"/>
          </w:tcPr>
          <w:p>
            <w:pPr>
              <w:ind w:left="20"/>
              <w:spacing w:after="0" w:line="201" w:lineRule="exact"/>
              <w:rPr>
                <w:sz w:val="20"/>
                <w:szCs w:val="20"/>
                <w:color w:val="auto"/>
              </w:rPr>
            </w:pPr>
            <w:r>
              <w:rPr>
                <w:rFonts w:ascii="Arial" w:cs="Arial" w:eastAsia="Arial" w:hAnsi="Arial"/>
                <w:sz w:val="18"/>
                <w:szCs w:val="18"/>
                <w:color w:val="auto"/>
              </w:rPr>
              <w:t>shares issued and</w:t>
            </w:r>
          </w:p>
        </w:tc>
        <w:tc>
          <w:tcPr>
            <w:tcW w:w="0" w:type="dxa"/>
            <w:vAlign w:val="bottom"/>
          </w:tcPr>
          <w:p>
            <w:pPr>
              <w:spacing w:after="0"/>
              <w:rPr>
                <w:sz w:val="1"/>
                <w:szCs w:val="1"/>
                <w:color w:val="auto"/>
              </w:rPr>
            </w:pPr>
          </w:p>
        </w:tc>
      </w:tr>
      <w:tr>
        <w:trPr>
          <w:trHeight w:val="230"/>
        </w:trPr>
        <w:tc>
          <w:tcPr>
            <w:tcW w:w="58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1"/>
              </w:rPr>
              <w:t>outstanding, actual; no shares authorized, issued, and outstanding, pro forma</w:t>
            </w:r>
          </w:p>
        </w:tc>
        <w:tc>
          <w:tcPr>
            <w:tcW w:w="10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80" w:type="dxa"/>
            <w:vAlign w:val="bottom"/>
          </w:tcPr>
          <w:p>
            <w:pPr>
              <w:spacing w:after="0"/>
              <w:rPr>
                <w:sz w:val="20"/>
                <w:szCs w:val="20"/>
                <w:color w:val="auto"/>
              </w:rPr>
            </w:pPr>
            <w:r>
              <w:rPr>
                <w:rFonts w:ascii="Arial" w:cs="Arial" w:eastAsia="Arial" w:hAnsi="Arial"/>
                <w:sz w:val="18"/>
                <w:szCs w:val="18"/>
                <w:color w:val="auto"/>
              </w:rPr>
              <w:t>Stockholders’ (deficit) equity:</w:t>
            </w: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86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w w:val="89"/>
              </w:rPr>
              <w:t>Preferred stock, $0.00001 par value; no shares authorized, issued, and outstanding, actual;</w:t>
            </w:r>
          </w:p>
        </w:tc>
        <w:tc>
          <w:tcPr>
            <w:tcW w:w="4380" w:type="dxa"/>
            <w:vAlign w:val="bottom"/>
            <w:gridSpan w:val="5"/>
            <w:shd w:val="clear" w:color="auto" w:fill="CCEEFF"/>
          </w:tcPr>
          <w:p>
            <w:pPr>
              <w:ind w:left="580"/>
              <w:spacing w:after="0" w:line="201" w:lineRule="exact"/>
              <w:rPr>
                <w:sz w:val="20"/>
                <w:szCs w:val="20"/>
                <w:color w:val="auto"/>
              </w:rPr>
            </w:pPr>
            <w:r>
              <w:rPr>
                <w:rFonts w:ascii="Arial" w:cs="Arial" w:eastAsia="Arial" w:hAnsi="Arial"/>
                <w:sz w:val="18"/>
                <w:szCs w:val="18"/>
                <w:color w:val="auto"/>
              </w:rPr>
              <w:t>shares authorized</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9"/>
              </w:rPr>
              <w:t>and no shares issued and outstanding, pro forma</w:t>
            </w:r>
          </w:p>
        </w:tc>
        <w:tc>
          <w:tcPr>
            <w:tcW w:w="6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80" w:type="dxa"/>
            <w:vAlign w:val="bottom"/>
          </w:tcPr>
          <w:p>
            <w:pPr>
              <w:ind w:left="360"/>
              <w:spacing w:after="0" w:line="201" w:lineRule="exact"/>
              <w:rPr>
                <w:sz w:val="20"/>
                <w:szCs w:val="20"/>
                <w:color w:val="auto"/>
              </w:rPr>
            </w:pPr>
            <w:r>
              <w:rPr>
                <w:rFonts w:ascii="Arial" w:cs="Arial" w:eastAsia="Arial" w:hAnsi="Arial"/>
                <w:sz w:val="18"/>
                <w:szCs w:val="18"/>
                <w:color w:val="auto"/>
              </w:rPr>
              <w:t>Class A common stock, $0.00001 par value;</w:t>
            </w:r>
          </w:p>
        </w:tc>
        <w:tc>
          <w:tcPr>
            <w:tcW w:w="178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shares authorized;</w:t>
            </w:r>
          </w:p>
        </w:tc>
        <w:tc>
          <w:tcPr>
            <w:tcW w:w="5380" w:type="dxa"/>
            <w:vAlign w:val="bottom"/>
            <w:gridSpan w:val="6"/>
          </w:tcPr>
          <w:p>
            <w:pPr>
              <w:ind w:left="160"/>
              <w:spacing w:after="0" w:line="201" w:lineRule="exact"/>
              <w:rPr>
                <w:sz w:val="20"/>
                <w:szCs w:val="20"/>
                <w:color w:val="auto"/>
              </w:rPr>
            </w:pPr>
            <w:r>
              <w:rPr>
                <w:rFonts w:ascii="Arial" w:cs="Arial" w:eastAsia="Arial" w:hAnsi="Arial"/>
                <w:sz w:val="18"/>
                <w:szCs w:val="18"/>
                <w:color w:val="auto"/>
              </w:rPr>
              <w:t>shares issued and outstanding, actual;</w:t>
            </w:r>
          </w:p>
        </w:tc>
        <w:tc>
          <w:tcPr>
            <w:tcW w:w="0" w:type="dxa"/>
            <w:vAlign w:val="bottom"/>
          </w:tcPr>
          <w:p>
            <w:pPr>
              <w:spacing w:after="0"/>
              <w:rPr>
                <w:sz w:val="1"/>
                <w:szCs w:val="1"/>
                <w:color w:val="auto"/>
              </w:rPr>
            </w:pPr>
          </w:p>
        </w:tc>
      </w:tr>
      <w:tr>
        <w:trPr>
          <w:trHeight w:val="230"/>
        </w:trPr>
        <w:tc>
          <w:tcPr>
            <w:tcW w:w="4080" w:type="dxa"/>
            <w:vAlign w:val="bottom"/>
          </w:tcPr>
          <w:p>
            <w:pPr>
              <w:ind w:left="1080"/>
              <w:spacing w:after="0"/>
              <w:rPr>
                <w:sz w:val="20"/>
                <w:szCs w:val="20"/>
                <w:color w:val="auto"/>
              </w:rPr>
            </w:pPr>
            <w:r>
              <w:rPr>
                <w:rFonts w:ascii="Arial" w:cs="Arial" w:eastAsia="Arial" w:hAnsi="Arial"/>
                <w:sz w:val="18"/>
                <w:szCs w:val="18"/>
                <w:color w:val="auto"/>
                <w:w w:val="89"/>
              </w:rPr>
              <w:t>shares issued and outstanding, pro forma</w:t>
            </w:r>
          </w:p>
        </w:tc>
        <w:tc>
          <w:tcPr>
            <w:tcW w:w="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Class B common stock, $0.00001 par value;</w:t>
            </w:r>
          </w:p>
        </w:tc>
        <w:tc>
          <w:tcPr>
            <w:tcW w:w="17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shares authorized;</w:t>
            </w:r>
          </w:p>
        </w:tc>
        <w:tc>
          <w:tcPr>
            <w:tcW w:w="5380" w:type="dxa"/>
            <w:vAlign w:val="bottom"/>
            <w:gridSpan w:val="6"/>
            <w:shd w:val="clear" w:color="auto" w:fill="CCEEFF"/>
          </w:tcPr>
          <w:p>
            <w:pPr>
              <w:ind w:left="160"/>
              <w:spacing w:after="0" w:line="201" w:lineRule="exact"/>
              <w:rPr>
                <w:sz w:val="20"/>
                <w:szCs w:val="20"/>
                <w:color w:val="auto"/>
              </w:rPr>
            </w:pPr>
            <w:r>
              <w:rPr>
                <w:rFonts w:ascii="Arial" w:cs="Arial" w:eastAsia="Arial" w:hAnsi="Arial"/>
                <w:sz w:val="18"/>
                <w:szCs w:val="18"/>
                <w:color w:val="auto"/>
              </w:rPr>
              <w:t>shares issued and outstanding, actual;</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89"/>
              </w:rPr>
              <w:t>shares issued and outstanding, pro forma</w:t>
            </w:r>
          </w:p>
        </w:tc>
        <w:tc>
          <w:tcPr>
            <w:tcW w:w="6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Accumulated deficit</w:t>
            </w: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(deficit) equity</w:t>
            </w: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720"/>
              <w:spacing w:after="0"/>
              <w:rPr>
                <w:sz w:val="20"/>
                <w:szCs w:val="20"/>
                <w:color w:val="auto"/>
              </w:rPr>
            </w:pPr>
            <w:r>
              <w:rPr>
                <w:rFonts w:ascii="Arial" w:cs="Arial" w:eastAsia="Arial" w:hAnsi="Arial"/>
                <w:sz w:val="18"/>
                <w:szCs w:val="18"/>
                <w:color w:val="auto"/>
              </w:rPr>
              <w:t>Total capitalization</w:t>
            </w: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86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3.5% senior mandatory convertible promissory note due 2025. For additional information, see “Description of Capital Stock—Senior Mandatory Convertible Promissory Note.”</w:t>
      </w:r>
    </w:p>
    <w:p>
      <w:pPr>
        <w:sectPr>
          <w:pgSz w:w="11900" w:h="16838" w:orient="portrait"/>
          <w:cols w:equalWidth="0" w:num="1">
            <w:col w:w="11240"/>
          </w:cols>
          <w:pgMar w:left="320" w:top="459" w:right="339" w:bottom="1440" w:gutter="0" w:footer="0" w:header="0"/>
        </w:sectPr>
      </w:pPr>
    </w:p>
    <w:p>
      <w:pPr>
        <w:spacing w:after="0" w:line="2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 forma column in the table above is based 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shares of Class A common stock and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B common stock</w:t>
      </w:r>
    </w:p>
    <w:p>
      <w:pPr>
        <w:spacing w:after="0" w:line="46" w:lineRule="exact"/>
        <w:rPr>
          <w:sz w:val="20"/>
          <w:szCs w:val="20"/>
          <w:color w:val="auto"/>
        </w:rPr>
      </w:pPr>
    </w:p>
    <w:p>
      <w:pPr>
        <w:sectPr>
          <w:pgSz w:w="11900" w:h="16838" w:orient="portrait"/>
          <w:cols w:equalWidth="0" w:num="3">
            <w:col w:w="4240" w:space="640"/>
            <w:col w:w="2640" w:space="640"/>
            <w:col w:w="3080"/>
          </w:cols>
          <w:pgMar w:left="32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outstanding as of January 31, 2020, and excludes:</w:t>
      </w:r>
    </w:p>
    <w:p>
      <w:pPr>
        <w:sectPr>
          <w:pgSz w:w="11900" w:h="16838" w:orient="portrait"/>
          <w:cols w:equalWidth="0" w:num="1">
            <w:col w:w="11240"/>
          </w:cols>
          <w:pgMar w:left="320" w:top="459" w:right="339" w:bottom="1440" w:gutter="0" w:footer="0" w:header="0"/>
          <w:type w:val="continuous"/>
        </w:sectPr>
      </w:pPr>
    </w:p>
    <w:p>
      <w:pPr>
        <w:spacing w:after="0" w:line="139" w:lineRule="exact"/>
        <w:rPr>
          <w:sz w:val="20"/>
          <w:szCs w:val="20"/>
          <w:color w:val="auto"/>
        </w:rPr>
      </w:pPr>
    </w:p>
    <w:p>
      <w:pPr>
        <w:ind w:left="1600" w:hanging="1147"/>
        <w:spacing w:after="0"/>
        <w:tabs>
          <w:tab w:leader="none" w:pos="16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shares of our Class A common stock issuable upon the exercise of options to purchase shares of our Class A common stock that were</w:t>
      </w:r>
    </w:p>
    <w:p>
      <w:pPr>
        <w:spacing w:after="0" w:line="46" w:lineRule="exact"/>
        <w:rPr>
          <w:sz w:val="20"/>
          <w:szCs w:val="20"/>
          <w:color w:val="auto"/>
        </w:rPr>
      </w:pPr>
    </w:p>
    <w:p>
      <w:pPr>
        <w:ind w:left="1000"/>
        <w:spacing w:after="0"/>
        <w:tabs>
          <w:tab w:leader="none" w:pos="7300" w:val="left"/>
        </w:tabs>
        <w:rPr>
          <w:sz w:val="20"/>
          <w:szCs w:val="20"/>
          <w:color w:val="auto"/>
        </w:rPr>
      </w:pPr>
      <w:r>
        <w:rPr>
          <w:rFonts w:ascii="Arial" w:cs="Arial" w:eastAsia="Arial" w:hAnsi="Arial"/>
          <w:sz w:val="18"/>
          <w:szCs w:val="18"/>
          <w:color w:val="auto"/>
        </w:rPr>
        <w:t>outstanding as of January 31, 2020, with a 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1600" w:hanging="1147"/>
        <w:spacing w:after="0"/>
        <w:tabs>
          <w:tab w:leader="none" w:pos="1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shares of our Class B common stock issuable upon the exercise of options to purchase shares of our Class B common stock that were</w:t>
      </w:r>
    </w:p>
    <w:p>
      <w:pPr>
        <w:spacing w:after="0" w:line="46" w:lineRule="exact"/>
        <w:rPr>
          <w:sz w:val="20"/>
          <w:szCs w:val="20"/>
          <w:color w:val="auto"/>
        </w:rPr>
      </w:pPr>
    </w:p>
    <w:p>
      <w:pPr>
        <w:ind w:left="1000"/>
        <w:spacing w:after="0"/>
        <w:tabs>
          <w:tab w:leader="none" w:pos="7300" w:val="left"/>
        </w:tabs>
        <w:rPr>
          <w:sz w:val="20"/>
          <w:szCs w:val="20"/>
          <w:color w:val="auto"/>
        </w:rPr>
      </w:pPr>
      <w:r>
        <w:rPr>
          <w:rFonts w:ascii="Arial" w:cs="Arial" w:eastAsia="Arial" w:hAnsi="Arial"/>
          <w:sz w:val="18"/>
          <w:szCs w:val="18"/>
          <w:color w:val="auto"/>
        </w:rPr>
        <w:t>outstanding as of January 31, 2020, with a weighted-average exercise price of $</w:t>
      </w:r>
      <w:r>
        <w:rPr>
          <w:sz w:val="20"/>
          <w:szCs w:val="20"/>
          <w:color w:val="auto"/>
        </w:rPr>
        <w:tab/>
      </w:r>
      <w:r>
        <w:rPr>
          <w:rFonts w:ascii="Arial" w:cs="Arial" w:eastAsia="Arial" w:hAnsi="Arial"/>
          <w:sz w:val="15"/>
          <w:szCs w:val="15"/>
          <w:color w:val="auto"/>
        </w:rPr>
        <w:t>per share;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459" w:right="3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600" w:hanging="1147"/>
        <w:spacing w:after="0"/>
        <w:tabs>
          <w:tab w:leader="none" w:pos="1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RSUs for shares of our Class A common stock outstanding as of January 31, 2020;</w:t>
      </w:r>
    </w:p>
    <w:p>
      <w:pPr>
        <w:spacing w:after="0" w:line="130" w:lineRule="exact"/>
        <w:rPr>
          <w:rFonts w:ascii="Arial" w:cs="Arial" w:eastAsia="Arial" w:hAnsi="Arial"/>
          <w:sz w:val="18"/>
          <w:szCs w:val="18"/>
          <w:color w:val="auto"/>
        </w:rPr>
      </w:pPr>
    </w:p>
    <w:p>
      <w:pPr>
        <w:ind w:left="1000" w:right="600" w:hanging="547"/>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between 11,282,390 and 18,051,810 shares of our Class B common stock issuable upon the conversion of our 3.5% senior mandatory convertible promissory note due 2025 that was outstanding as of January 31, 2020;</w:t>
      </w:r>
    </w:p>
    <w:p>
      <w:pPr>
        <w:spacing w:after="0" w:line="75" w:lineRule="exact"/>
        <w:rPr>
          <w:rFonts w:ascii="Arial" w:cs="Arial" w:eastAsia="Arial" w:hAnsi="Arial"/>
          <w:sz w:val="18"/>
          <w:szCs w:val="18"/>
          <w:color w:val="auto"/>
        </w:rPr>
      </w:pPr>
    </w:p>
    <w:p>
      <w:pPr>
        <w:ind w:left="1600" w:hanging="1147"/>
        <w:spacing w:after="0"/>
        <w:tabs>
          <w:tab w:leader="none" w:pos="1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shares of our Class A common stock reserved for future issuance under our 2012 Stock Plan, as of January 31, 2020, of which:</w:t>
      </w:r>
    </w:p>
    <w:p>
      <w:pPr>
        <w:spacing w:after="0" w:line="142" w:lineRule="exact"/>
        <w:rPr>
          <w:sz w:val="20"/>
          <w:szCs w:val="20"/>
          <w:color w:val="auto"/>
        </w:rPr>
      </w:pPr>
    </w:p>
    <w:p>
      <w:pPr>
        <w:ind w:left="2020" w:hanging="1013"/>
        <w:spacing w:after="0"/>
        <w:tabs>
          <w:tab w:leader="none" w:pos="2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shares of our Class A common stock are issuable upon the exercise of options to purchase shares of our Class A common stock</w:t>
      </w:r>
    </w:p>
    <w:p>
      <w:pPr>
        <w:spacing w:after="0" w:line="46" w:lineRule="exact"/>
        <w:rPr>
          <w:sz w:val="20"/>
          <w:szCs w:val="20"/>
          <w:color w:val="auto"/>
        </w:rPr>
      </w:pPr>
    </w:p>
    <w:p>
      <w:pPr>
        <w:ind w:left="1440"/>
        <w:spacing w:after="0"/>
        <w:tabs>
          <w:tab w:leader="none" w:pos="7420" w:val="left"/>
        </w:tabs>
        <w:rPr>
          <w:sz w:val="20"/>
          <w:szCs w:val="20"/>
          <w:color w:val="auto"/>
        </w:rPr>
      </w:pPr>
      <w:r>
        <w:rPr>
          <w:rFonts w:ascii="Arial" w:cs="Arial" w:eastAsia="Arial" w:hAnsi="Arial"/>
          <w:sz w:val="18"/>
          <w:szCs w:val="18"/>
          <w:color w:val="auto"/>
        </w:rPr>
        <w:t>granted after January 31, 2020, with a 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2020" w:hanging="1013"/>
        <w:spacing w:after="0"/>
        <w:tabs>
          <w:tab w:leader="none" w:pos="2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RSUs for shares of our Class A common stock granted after January 31, 2020; and</w:t>
      </w:r>
    </w:p>
    <w:p>
      <w:pPr>
        <w:spacing w:after="0" w:line="130" w:lineRule="exact"/>
        <w:rPr>
          <w:rFonts w:ascii="Arial" w:cs="Arial" w:eastAsia="Arial" w:hAnsi="Arial"/>
          <w:sz w:val="18"/>
          <w:szCs w:val="18"/>
          <w:color w:val="auto"/>
        </w:rPr>
      </w:pPr>
    </w:p>
    <w:p>
      <w:pPr>
        <w:ind w:left="1440" w:right="320" w:hanging="433"/>
        <w:spacing w:after="0" w:line="308" w:lineRule="auto"/>
        <w:tabs>
          <w:tab w:leader="none" w:pos="2025" w:val="left"/>
        </w:tabs>
        <w:numPr>
          <w:ilvl w:val="1"/>
          <w:numId w:val="39"/>
        </w:numPr>
        <w:rPr>
          <w:rFonts w:ascii="Arial" w:cs="Arial" w:eastAsia="Arial" w:hAnsi="Arial"/>
          <w:sz w:val="17"/>
          <w:szCs w:val="17"/>
          <w:color w:val="auto"/>
        </w:rPr>
      </w:pPr>
      <w:r>
        <w:rPr>
          <w:rFonts w:ascii="Arial" w:cs="Arial" w:eastAsia="Arial" w:hAnsi="Arial"/>
          <w:sz w:val="17"/>
          <w:szCs w:val="17"/>
          <w:color w:val="auto"/>
        </w:rPr>
        <w:t>shares of our Class A common stock that will become available for future issuance under our 2020 Equity Incentive Plan in connection with the effectiveness of the registration statement of which this prospectus forms a part; and</w:t>
      </w:r>
    </w:p>
    <w:p>
      <w:pPr>
        <w:spacing w:after="0" w:line="51" w:lineRule="exact"/>
        <w:rPr>
          <w:rFonts w:ascii="Arial" w:cs="Arial" w:eastAsia="Arial" w:hAnsi="Arial"/>
          <w:sz w:val="17"/>
          <w:szCs w:val="17"/>
          <w:color w:val="auto"/>
        </w:rPr>
      </w:pPr>
    </w:p>
    <w:p>
      <w:pPr>
        <w:ind w:left="1000" w:hanging="547"/>
        <w:spacing w:after="0" w:line="311" w:lineRule="auto"/>
        <w:tabs>
          <w:tab w:leader="none" w:pos="158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additional shares of our Class A common stock reserved for future issuance under our 2020 Equity Incentive Plan, which will become effective in connection with the effectiveness of the registration statement of which this prospectus forms a part and will contain a provision that will automatically increase its share reserve each year, as more fully described in “Executive Compensation—Employee Benefit Plans.”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45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i w:val="1"/>
          <w:iCs w:val="1"/>
          <w:color w:val="auto"/>
        </w:rPr>
        <w:t>The selected consolidated statement of operations data for the years ended January 31, 2019 and 2020 and consolidated balance sheet data as of January 31, 2019 and 2020 (except the pro forma share and net loss per share information) have been derived from our audited consolidated financial statements included elsewhere in this prospectus. Our historical results are not necessarily indicative of the results that may be expected in the future. You should read the following selected consolidated financial data below in conjunction with the section titled “Management’s Discussion and Analysis of Financial Condition and Results of Operations” and our consolidated financial statements included elsewhere in this prospectus.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Year Ended January 31,</w:t>
            </w:r>
          </w:p>
        </w:tc>
      </w:tr>
      <w:tr>
        <w:trPr>
          <w:trHeight w:val="142"/>
        </w:trPr>
        <w:tc>
          <w:tcPr>
            <w:tcW w:w="9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w w:val="83"/>
              </w:rPr>
              <w:t>2020</w:t>
            </w:r>
          </w:p>
        </w:tc>
        <w:tc>
          <w:tcPr>
            <w:tcW w:w="60" w:type="dxa"/>
            <w:vAlign w:val="bottom"/>
          </w:tcPr>
          <w:p>
            <w:pPr>
              <w:spacing w:after="0"/>
              <w:rPr>
                <w:sz w:val="12"/>
                <w:szCs w:val="12"/>
                <w:color w:val="auto"/>
              </w:rPr>
            </w:pPr>
          </w:p>
        </w:tc>
      </w:tr>
      <w:tr>
        <w:trPr>
          <w:trHeight w:val="119"/>
        </w:trPr>
        <w:tc>
          <w:tcPr>
            <w:tcW w:w="9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tcPr>
          <w:p>
            <w:pPr>
              <w:jc w:val="center"/>
              <w:ind w:left="314"/>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85"/>
        </w:trPr>
        <w:tc>
          <w:tcPr>
            <w:tcW w:w="9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except per share amounts)</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660"/>
              <w:spacing w:after="0"/>
              <w:rPr>
                <w:sz w:val="20"/>
                <w:szCs w:val="20"/>
                <w:color w:val="auto"/>
              </w:rPr>
            </w:pPr>
            <w:r>
              <w:rPr>
                <w:rFonts w:ascii="Arial" w:cs="Arial" w:eastAsia="Arial" w:hAnsi="Arial"/>
                <w:sz w:val="18"/>
                <w:szCs w:val="18"/>
                <w:color w:val="auto"/>
              </w:rPr>
              <w:t>76,770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13,832</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30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62,938</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8"/>
                <w:szCs w:val="18"/>
                <w:color w:val="auto"/>
              </w:rPr>
              <w:t>42,585</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52,106</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8"/>
                <w:szCs w:val="18"/>
                <w:color w:val="auto"/>
              </w:rPr>
              <w:t>20,260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9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2"/>
              </w:rPr>
              <w:t>114,951</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30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(52,013)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1,113</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30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(50,900)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3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(50,900</w:t>
            </w:r>
          </w:p>
        </w:tc>
        <w:tc>
          <w:tcPr>
            <w:tcW w:w="660" w:type="dxa"/>
            <w:vAlign w:val="bottom"/>
            <w:gridSpan w:val="2"/>
          </w:tcPr>
          <w:p>
            <w:pPr>
              <w:jc w:val="right"/>
              <w:ind w:right="600"/>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9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rPr>
              <w:t>(0.78)</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9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calculating 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8"/>
                <w:szCs w:val="18"/>
                <w:color w:val="auto"/>
              </w:rPr>
              <w:t>65,214</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9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rPr>
              <w:t>(0.38)</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9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calculating pro forma net loss per share</w:t>
            </w:r>
            <w:r>
              <w:rPr>
                <w:rFonts w:ascii="Arial" w:cs="Arial" w:eastAsia="Arial" w:hAnsi="Arial"/>
                <w:sz w:val="15"/>
                <w:szCs w:val="15"/>
                <w:color w:val="auto"/>
              </w:rPr>
              <w:t>(2)</w:t>
            </w: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30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133,845</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9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Amounts include stock-based compensation expense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Year Ended January 31,</w:t>
            </w:r>
          </w:p>
        </w:tc>
      </w:tr>
      <w:tr>
        <w:trPr>
          <w:trHeight w:val="142"/>
        </w:trPr>
        <w:tc>
          <w:tcPr>
            <w:tcW w:w="56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left="348"/>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3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37</w:t>
            </w: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560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5,160</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3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2,108</w:t>
            </w: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5"/>
        </w:trPr>
        <w:tc>
          <w:tcPr>
            <w:tcW w:w="560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3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1,242</w:t>
            </w: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8"/>
        </w:trPr>
        <w:tc>
          <w:tcPr>
            <w:tcW w:w="56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stock-based compensation</w:t>
            </w:r>
          </w:p>
        </w:tc>
        <w:tc>
          <w:tcPr>
            <w:tcW w:w="3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8,547</w:t>
            </w: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20"/>
        </w:trPr>
        <w:tc>
          <w:tcPr>
            <w:tcW w:w="56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right="520"/>
        <w:spacing w:after="0" w:line="253" w:lineRule="auto"/>
        <w:rPr>
          <w:sz w:val="20"/>
          <w:szCs w:val="20"/>
          <w:color w:val="auto"/>
        </w:rPr>
      </w:pPr>
      <w:r>
        <w:rPr>
          <w:rFonts w:ascii="Arial" w:cs="Arial" w:eastAsia="Arial" w:hAnsi="Arial"/>
          <w:sz w:val="14"/>
          <w:szCs w:val="14"/>
          <w:color w:val="auto"/>
        </w:rPr>
        <w:t>Stock-based compensation expense for fiscal 2019 includes $3.8 million of compensation expense related to a tender offer that was consummated in fiscal 2019 (see Note 9 to our consolidated financial statements included elsewhere in this prospectus).</w:t>
      </w:r>
    </w:p>
    <w:p>
      <w:pPr>
        <w:spacing w:after="0" w:line="79" w:lineRule="exact"/>
        <w:rPr>
          <w:sz w:val="20"/>
          <w:szCs w:val="20"/>
          <w:color w:val="auto"/>
        </w:rPr>
      </w:pPr>
    </w:p>
    <w:p>
      <w:pPr>
        <w:ind w:left="460" w:right="140" w:hanging="452"/>
        <w:spacing w:after="0" w:line="290" w:lineRule="auto"/>
        <w:tabs>
          <w:tab w:leader="none" w:pos="4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See Note 2 and Note 7 to our consolidated financial statements included elsewhere in this prospectus for an explanation of the method used to calculate our basic and diluted net loss per share, our basic and diluted pro forma net loss per share, and the weighted-average number of shares used in the computation of the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As of January 31,</w:t>
            </w:r>
          </w:p>
        </w:tc>
      </w:tr>
      <w:tr>
        <w:trPr>
          <w:trHeight w:val="142"/>
        </w:trPr>
        <w:tc>
          <w:tcPr>
            <w:tcW w:w="66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95"/>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tcPr>
          <w:p>
            <w:pPr>
              <w:jc w:val="center"/>
              <w:ind w:right="88"/>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2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5"/>
              <w:spacing w:after="0"/>
              <w:rPr>
                <w:sz w:val="20"/>
                <w:szCs w:val="20"/>
                <w:color w:val="auto"/>
              </w:rPr>
            </w:pPr>
            <w:r>
              <w:rPr>
                <w:rFonts w:ascii="Arial" w:cs="Arial" w:eastAsia="Arial" w:hAnsi="Arial"/>
                <w:sz w:val="18"/>
                <w:szCs w:val="18"/>
                <w:color w:val="auto"/>
              </w:rPr>
              <w:t>87,967</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59,662</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Total assets</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15"/>
              <w:spacing w:after="0"/>
              <w:rPr>
                <w:sz w:val="20"/>
                <w:szCs w:val="20"/>
                <w:color w:val="auto"/>
              </w:rPr>
            </w:pPr>
            <w:r>
              <w:rPr>
                <w:rFonts w:ascii="Arial" w:cs="Arial" w:eastAsia="Arial" w:hAnsi="Arial"/>
                <w:sz w:val="18"/>
                <w:szCs w:val="18"/>
                <w:color w:val="auto"/>
              </w:rPr>
              <w:t>113,749</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31,918</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Convertible note payable</w:t>
            </w:r>
            <w:r>
              <w:rPr>
                <w:rFonts w:ascii="Arial" w:cs="Arial" w:eastAsia="Arial" w:hAnsi="Arial"/>
                <w:sz w:val="15"/>
                <w:szCs w:val="15"/>
                <w:color w:val="auto"/>
              </w:rPr>
              <w:t>(2)</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94</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215"/>
              <w:spacing w:after="0"/>
              <w:rPr>
                <w:sz w:val="20"/>
                <w:szCs w:val="20"/>
                <w:color w:val="auto"/>
              </w:rPr>
            </w:pPr>
            <w:r>
              <w:rPr>
                <w:rFonts w:ascii="Arial" w:cs="Arial" w:eastAsia="Arial" w:hAnsi="Arial"/>
                <w:sz w:val="18"/>
                <w:szCs w:val="18"/>
                <w:color w:val="auto"/>
              </w:rPr>
              <w:t>250,370</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2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95"/>
              </w:rPr>
              <w:t>(181,011)</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ind w:left="460" w:hanging="452"/>
        <w:spacing w:after="0"/>
        <w:tabs>
          <w:tab w:leader="none" w:pos="4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3.5% senior mandatory convertible promissory note due 2025. For additional information, see “Description of Capital Stock—Senior Mandatory Convertible Promissory Note.”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0" w:firstLine="449"/>
        <w:spacing w:after="0" w:line="308" w:lineRule="auto"/>
        <w:rPr>
          <w:sz w:val="20"/>
          <w:szCs w:val="20"/>
          <w:color w:val="auto"/>
        </w:rPr>
      </w:pPr>
      <w:r>
        <w:rPr>
          <w:rFonts w:ascii="Arial" w:cs="Arial" w:eastAsia="Arial" w:hAnsi="Arial"/>
          <w:sz w:val="17"/>
          <w:szCs w:val="17"/>
          <w:color w:val="auto"/>
        </w:rPr>
        <w:t>The following table summarizes our non-GAAP financial measures for each fiscal year presented below. In addition to our results determined in accordance with GAAP, we believe these non-GAAP financial measures are useful in evaluating our operating performance.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58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58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Non-GAAP loss from operations</w:t>
            </w:r>
          </w:p>
        </w:tc>
        <w:tc>
          <w:tcPr>
            <w:tcW w:w="3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(43,466)</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Free cash flow</w:t>
            </w:r>
          </w:p>
        </w:tc>
        <w:tc>
          <w:tcPr>
            <w:tcW w:w="3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ind w:left="80"/>
              <w:spacing w:after="0"/>
              <w:rPr>
                <w:sz w:val="20"/>
                <w:szCs w:val="20"/>
                <w:color w:val="auto"/>
              </w:rPr>
            </w:pPr>
            <w:r>
              <w:rPr>
                <w:rFonts w:ascii="Arial" w:cs="Arial" w:eastAsia="Arial" w:hAnsi="Arial"/>
                <w:sz w:val="18"/>
                <w:szCs w:val="18"/>
                <w:color w:val="auto"/>
              </w:rPr>
              <w:t>(33,587)</w:t>
            </w: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For additional information concerning the limitations and reconciliations of the non-GAAP financial measures to the most directly comparable financial measures stated in accordance with GAAP, see the section titled “Management’s Discussion and Analysis of Financial Condition and Results of Operations—Non-GAAP Financial Measures.”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section titled “Selected Consolidated Financial Data” and the consolidated financial statements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prospectus. Our fiscal year end is January 31, and references throughout this prospectus to a given fiscal year are to the 12 months ended on that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Asana is a work management platform that helps teams orchestrate work, from daily tasks to cross-functional strategic initiatives. Over 75,000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18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outside support. We allow users to work the way they want with the interface that is right for them using tasks, lists, calendars, boards, timelines, and workload.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40"/>
          </w:cols>
          <w:pgMar w:left="320" w:top="459" w:right="5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the launch of the Premium level of Asana in 2012, we have achieved strong growth and the following key milestones: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company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94615</wp:posOffset>
            </wp:positionV>
            <wp:extent cx="5186045" cy="47574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86045" cy="4757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have experienced rapid growth in recent periods. Our revenues were $76.8 million and $ million for fiscal 2019 and fiscal 2020, respectively, representing growth of %. As of January 31, 2020, we had 701 employees, representing growth of 65% since January 31, 2019. We had a net loss of $50.9 million and $ million for fiscal 2019 and fiscal 2020, respectively.</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117"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We generate revenues from the sale of subscriptions to our cloud-based platform. We offer three levels of paid subscriptions to serve the varying needs of our paying customers: Premium, Business, and Enterprise. Pricing is based on the number of users and increases with each subscription level as more features and functionality are included. We introduced Enterprise subscriptions and Business subscriptions in December 2016 and</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320" w:top="459" w:right="5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November 2018, respectively. These subscriptions have grown to represent approximately % of our revenues during the three months ended January 31, 2020. Paying customers typically pay on a monthly or annual basis, with the majority of our Business and Enterprise level customers on annual plans. Additionally, we offer a free Basic version of Asana for teams of fewer than 15 people, with limited access to Premium features. We also offer a 30-day trial of our paid subscription plans. Of our 100 largest customers today, virtually all came to Asana using a free trial of our paid levels or through an upgrade from our Basic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145415</wp:posOffset>
            </wp:positionV>
            <wp:extent cx="5203190" cy="31457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0319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Nearly 25 million users have registered on Asana since our inception, representing a significant number of users associated with accounts that may convert to paying customers over time. As of January 31, 2020, we had over 1.2 million paid users on Asana. Our free-to-paid conversion rate of registered users, as measured by the number of paid users divided by the total number of then-registered users, has increased from 3.6% as of January 31, 2018 to over 4.8% as of January 31, 2020.</w:t>
      </w:r>
    </w:p>
    <w:p>
      <w:pPr>
        <w:spacing w:after="0" w:line="187"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We serve a large and diverse customer base, including over 75,000 paying customers, across all industry verticals and market segments, and over 30% of the FORTUNE 500. 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We define a paying customer as a customer on a paid subscription plan. No single customer accounted</w:t>
      </w:r>
    </w:p>
    <w:p>
      <w:pPr>
        <w:spacing w:after="0" w:line="1"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for more than % of our revenues, and our top 100 customers accounted for approximately % of our revenues for fiscal 2020. For fiscal 2020, approximately % of our revenues were generated outside the United States with limited international sales presence or major product customization.</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Go-To-Market Approach</w:t>
      </w:r>
    </w:p>
    <w:p>
      <w:pPr>
        <w:spacing w:after="0" w:line="117" w:lineRule="exact"/>
        <w:rPr>
          <w:sz w:val="20"/>
          <w:szCs w:val="20"/>
          <w:color w:val="auto"/>
        </w:rPr>
      </w:pPr>
    </w:p>
    <w:p>
      <w:pPr>
        <w:jc w:val="both"/>
        <w:ind w:right="200" w:firstLine="449"/>
        <w:spacing w:after="0" w:line="311" w:lineRule="auto"/>
        <w:rPr>
          <w:sz w:val="20"/>
          <w:szCs w:val="20"/>
          <w:color w:val="auto"/>
        </w:rPr>
      </w:pPr>
      <w:r>
        <w:rPr>
          <w:rFonts w:ascii="Arial" w:cs="Arial" w:eastAsia="Arial" w:hAnsi="Arial"/>
          <w:sz w:val="16"/>
          <w:szCs w:val="16"/>
          <w:color w:val="auto"/>
        </w:rPr>
        <w:t>Our hybrid self-service and direct sales model allows us to efficiently reach teams everywhere and then rapidly expand their adoption of Asana. A majority of our new paying customers initially adopted our platform through self-service and free trials. By providing a free version of Asana, a free trial option, and a feature where customers can invite guests outside of their organizations to use Asana, we are able to seed the market with Asana users.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Once individuals and teams within organizations adopt our platform, our direct sales team follows up with an opportunity to strategically expand our offerings across the organization. We are at the early stages of building our direct sales force to focus on the significant expansion opportunity we see within our customer base.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growth and financial performance are dependent upon many factors, including the key factors described below.</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Continuing to Acquire New Paying Customers</w:t>
      </w:r>
    </w:p>
    <w:p>
      <w:pPr>
        <w:spacing w:after="0" w:line="117"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We are focused on continuing to grow the number of customers that use our platform. Our operating results and growth opportunity depend, in part, on our ability to attract new customers. While we currently have over 75,000 paying customers, we believe we have significant greenfield opportunities among addressable customers worldwide. We also have 3.2 million free activated accounts on our platform since inception, providing a significant conversion opportunity. We will need to continue to invest in our research and development and our sales and marketing organizations to address this opportunity.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Retain and Expand Within Existing Customers</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expect to derive a significant portion of our revenue growth from expansion within our customer base, where we have an opportunity to expand adoption of Asana across teams, departments, and organizations. We measure the rate of expansion within our customer base by calculating our dollar-based net retention rate. We believe that our dollar-based net retention rate demonstrates our large addressable market and high rate of net expansion within our customers, particularly those that generate higher levels of annual revenues.</w:t>
      </w:r>
    </w:p>
    <w:p>
      <w:pPr>
        <w:spacing w:after="0" w:line="92" w:lineRule="exact"/>
        <w:rPr>
          <w:sz w:val="20"/>
          <w:szCs w:val="20"/>
          <w:color w:val="auto"/>
        </w:rPr>
      </w:pPr>
    </w:p>
    <w:p>
      <w:pPr>
        <w:ind w:left="1000" w:hanging="54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overall dollar-based net retention rate was over 110% and over 120% for fiscal 2019 and fiscal 2020, respectively.</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dollar-based net retention rate for customers who spent over $5,000 with us on an annualized basis was over 115% and over 125% for fiscal 2019 and fiscal 2020, respectively.</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dollar-based net retention rate for customers who spent over $50,000 with us on an annualized basis was over 140% for both fiscal 2019 and fiscal 2020.</w:t>
      </w:r>
    </w:p>
    <w:p>
      <w:pPr>
        <w:spacing w:after="0" w:line="170" w:lineRule="exact"/>
        <w:rPr>
          <w:sz w:val="20"/>
          <w:szCs w:val="20"/>
          <w:color w:val="auto"/>
        </w:rPr>
      </w:pPr>
    </w:p>
    <w:p>
      <w:pPr>
        <w:ind w:right="80" w:firstLine="449"/>
        <w:spacing w:after="0" w:line="285" w:lineRule="auto"/>
        <w:rPr>
          <w:sz w:val="20"/>
          <w:szCs w:val="20"/>
          <w:color w:val="auto"/>
        </w:rPr>
      </w:pPr>
      <w:r>
        <w:rPr>
          <w:rFonts w:ascii="Arial" w:cs="Arial" w:eastAsia="Arial" w:hAnsi="Arial"/>
          <w:sz w:val="16"/>
          <w:szCs w:val="16"/>
          <w:color w:val="auto"/>
        </w:rPr>
        <w:t>Our reported dollar-based net retention rate equals the simple arithmetic average of our quarterly dollar-based net retention rate for the four quarters ending with the most recent fiscal quarter. We calculate our dollar-based net retention rate by comparing our revenues from the same set of customers in a given quarter, relative to the comparable prior-year period. To calculate our dollar-based net retention rate for a given quarter, we start with the revenues in that quarter from customers that generated revenues in the same quarter of the prior year. We then divide that amount by the revenues attributable to that same group of customers in the prior-year quarter. Current period revenues include any upsells and are net of contraction or attrition over the trailing</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12 months, but exclude revenues from new customers in the current period. We expect our dollar-based net retention rate to fluctuate in future periods due to a number of factors, including the expected growth of our revenue base, the level of penetration within our customer base, and our ability to retain our customers.</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Continue to Invest in Product Development and Functionality</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intend to continue to improve our platform by developing new products and expanding the functionality of existing products. Since our initial release of Asana, we have released a variety of additional functionality and features that have increased capabilities and improved user experience, including our Rules automation functionality. We invest heavily in integrating our products with other major technologies so that our products can be easily adopted alongside existing communication, collaboration, and vertical tools. We believe that these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integrations increase the value of our platform to our customers, as they allow our customers to leverage Asana alongside their existing infrastructure. We intend to expend additional resources in the future to continue introducing new products, features, and functionality.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Continue to Invest in Growth</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Although we have invested significantly in our business to date, we believe that we are early in addressing our large market opportunity. We intend to continue to make investments to support the growth and expansion of our business. We are investing in our expansion efforts by growing our direct sales team, which has nearly doubled in size since January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The following tables present certain non-GAAP financial measures for each fiscal year presented below. In addition to our results determined in accordance with GAAP, we believe these non-GAAP financial measures are useful in evaluating our operating performance. See below for a description of the non-GAAP financial measures and their limitations as an analytical tool.</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3"/>
          </w:tcPr>
          <w:p>
            <w:pPr>
              <w:ind w:left="22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5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1021"/>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42"/>
        </w:trPr>
        <w:tc>
          <w:tcPr>
            <w:tcW w:w="5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right"/>
              <w:ind w:right="1"/>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Non-GAAP loss from operations</w:t>
            </w:r>
          </w:p>
        </w:tc>
        <w:tc>
          <w:tcPr>
            <w:tcW w:w="3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741"/>
              <w:spacing w:after="0"/>
              <w:rPr>
                <w:sz w:val="20"/>
                <w:szCs w:val="20"/>
                <w:color w:val="auto"/>
              </w:rPr>
            </w:pPr>
            <w:r>
              <w:rPr>
                <w:rFonts w:ascii="Arial" w:cs="Arial" w:eastAsia="Arial" w:hAnsi="Arial"/>
                <w:sz w:val="18"/>
                <w:szCs w:val="18"/>
                <w:color w:val="auto"/>
                <w:w w:val="95"/>
              </w:rPr>
              <w:t>(43,466)</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Free cash flow</w:t>
            </w:r>
          </w:p>
        </w:tc>
        <w:tc>
          <w:tcPr>
            <w:tcW w:w="3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41"/>
              <w:spacing w:after="0"/>
              <w:rPr>
                <w:sz w:val="20"/>
                <w:szCs w:val="20"/>
                <w:color w:val="auto"/>
              </w:rPr>
            </w:pPr>
            <w:r>
              <w:rPr>
                <w:rFonts w:ascii="Arial" w:cs="Arial" w:eastAsia="Arial" w:hAnsi="Arial"/>
                <w:sz w:val="18"/>
                <w:szCs w:val="18"/>
                <w:color w:val="auto"/>
                <w:w w:val="95"/>
              </w:rPr>
              <w:t>(33,587)</w:t>
            </w: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Non-GAAP Loss From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define non-GAAP loss from operations as loss from operations plus stock-based compensation expense.</w:t>
      </w:r>
    </w:p>
    <w:p>
      <w:pPr>
        <w:spacing w:after="0" w:line="225"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We use non-GAAP loss from operations in conjunction with traditional GAAP measures to evaluate our financial performance. We believe that non-GAAP loss from operations provides our management and investors consistency and comparability with our past financial performance and facilitates period-to-period comparisons of operations by eliminating fluctuations in stock-based compensation expense.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We define free cash flow as net cash used in operating activities less cash used for purchases of property and equipment and capitalized internal-use software costs. We believe that free cash flow is a useful indicator of liquidity that provides information to management and investors, even if negative, about the amount of cash used in our operations other than that used for investments in property and equipment and capitalized internal-use software costs.</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and Reconciliations of Non-GAAP Financial Measures</w:t>
      </w:r>
    </w:p>
    <w:p>
      <w:pPr>
        <w:spacing w:after="0" w:line="11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reconcile the most directly comparable GAAP financial measure to each of these non-GAAP financial measures.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Non-GAAP Loss From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w w:val="83"/>
              </w:rPr>
              <w:t>2020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521"/>
              <w:spacing w:after="0"/>
              <w:rPr>
                <w:sz w:val="20"/>
                <w:szCs w:val="20"/>
                <w:color w:val="auto"/>
              </w:rPr>
            </w:pPr>
            <w:r>
              <w:rPr>
                <w:rFonts w:ascii="Arial" w:cs="Arial" w:eastAsia="Arial" w:hAnsi="Arial"/>
                <w:sz w:val="18"/>
                <w:szCs w:val="18"/>
                <w:color w:val="auto"/>
              </w:rPr>
              <w:t>$ (52,013)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Add:</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581"/>
              <w:spacing w:after="0"/>
              <w:rPr>
                <w:sz w:val="20"/>
                <w:szCs w:val="20"/>
                <w:color w:val="auto"/>
              </w:rPr>
            </w:pPr>
            <w:r>
              <w:rPr>
                <w:rFonts w:ascii="Arial" w:cs="Arial" w:eastAsia="Arial" w:hAnsi="Arial"/>
                <w:sz w:val="18"/>
                <w:szCs w:val="18"/>
                <w:color w:val="auto"/>
              </w:rPr>
              <w:t>8,547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Non-GAAP loss from operations</w:t>
            </w:r>
          </w:p>
        </w:tc>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(43,466</w:t>
            </w:r>
          </w:p>
        </w:tc>
        <w:tc>
          <w:tcPr>
            <w:tcW w:w="660" w:type="dxa"/>
            <w:vAlign w:val="bottom"/>
          </w:tcPr>
          <w:p>
            <w:pPr>
              <w:jc w:val="right"/>
              <w:ind w:right="521"/>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460"/>
              <w:spacing w:after="0"/>
              <w:rPr>
                <w:sz w:val="20"/>
                <w:szCs w:val="20"/>
                <w:color w:val="auto"/>
              </w:rPr>
            </w:pPr>
            <w:r>
              <w:rPr>
                <w:rFonts w:ascii="Arial" w:cs="Arial" w:eastAsia="Arial" w:hAnsi="Arial"/>
                <w:sz w:val="18"/>
                <w:szCs w:val="18"/>
                <w:i w:val="1"/>
                <w:iCs w:val="1"/>
                <w:color w:val="auto"/>
              </w:rPr>
              <w:t>Free Cash Flow</w:t>
            </w:r>
          </w:p>
        </w:tc>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8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9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6"/>
          </w:tcPr>
          <w:p>
            <w:pPr>
              <w:ind w:left="6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144"/>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right"/>
              <w:ind w:right="61"/>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4040" w:type="dxa"/>
            <w:vAlign w:val="bottom"/>
            <w:gridSpan w:val="5"/>
            <w:shd w:val="clear" w:color="auto" w:fill="CCEEFF"/>
          </w:tcPr>
          <w:p>
            <w:pPr>
              <w:jc w:val="right"/>
              <w:ind w:right="148"/>
              <w:spacing w:after="0"/>
              <w:rPr>
                <w:sz w:val="20"/>
                <w:szCs w:val="20"/>
                <w:color w:val="auto"/>
              </w:rPr>
            </w:pPr>
            <w:r>
              <w:rPr>
                <w:rFonts w:ascii="Arial" w:cs="Arial" w:eastAsia="Arial" w:hAnsi="Arial"/>
                <w:sz w:val="18"/>
                <w:szCs w:val="18"/>
                <w:color w:val="auto"/>
              </w:rPr>
              <w:t>$ (44,662)</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Net cash provided by financing activities</w:t>
            </w:r>
          </w:p>
        </w:tc>
        <w:tc>
          <w:tcPr>
            <w:tcW w:w="3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55,293</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w w:val="95"/>
              </w:rPr>
              <w:t>(30,180)</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Less:</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(2,850)</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Capitalized internal-use software</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48"/>
              <w:spacing w:after="0"/>
              <w:rPr>
                <w:sz w:val="20"/>
                <w:szCs w:val="20"/>
                <w:color w:val="auto"/>
              </w:rPr>
            </w:pPr>
            <w:r>
              <w:rPr>
                <w:rFonts w:ascii="Arial" w:cs="Arial" w:eastAsia="Arial" w:hAnsi="Arial"/>
                <w:sz w:val="18"/>
                <w:szCs w:val="18"/>
                <w:color w:val="auto"/>
              </w:rPr>
              <w:t>(557)</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4040" w:type="dxa"/>
            <w:vAlign w:val="bottom"/>
            <w:gridSpan w:val="5"/>
            <w:shd w:val="clear" w:color="auto" w:fill="CCEEFF"/>
          </w:tcPr>
          <w:p>
            <w:pPr>
              <w:jc w:val="right"/>
              <w:ind w:right="148"/>
              <w:spacing w:after="0"/>
              <w:rPr>
                <w:sz w:val="20"/>
                <w:szCs w:val="20"/>
                <w:color w:val="auto"/>
              </w:rPr>
            </w:pPr>
            <w:r>
              <w:rPr>
                <w:rFonts w:ascii="Arial" w:cs="Arial" w:eastAsia="Arial" w:hAnsi="Arial"/>
                <w:sz w:val="18"/>
                <w:szCs w:val="18"/>
                <w:color w:val="auto"/>
              </w:rPr>
              <w:t>$ (33,587)</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We generate subscription revenues from paying customers accessing our cloud-based platform. Subscription revenues are driven primarily by the number of paying customers, the number of paying users within the customer base, and the level of subscription plan. We recognize revenues ratably over the related contractual term beginning on the date that the platform is made available to a customer.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Due to the ease of implementation of our platform, revenues from professional services have been immaterial to date.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1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Cost of revenues consists primarily of the cost of providing our platform to free users and paying customers and is comprised of third-party hosting fees, personnel-related expenses for our operations and support personnel, credit card processing fees, and amortization of our capitalized internal-use software costs.</w:t>
      </w:r>
    </w:p>
    <w:p>
      <w:pPr>
        <w:spacing w:after="0" w:line="184"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As we acquire new customers and existing customers increase their use of our cloud-based platform, we expect that our cost of revenues will continue to increase in dollar amount.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17"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Gross profit, or revenues less cost of revenues, and gross margin, or gross profit as a percentage of revenues, has been and will continue to be affected by various factors, including the timing of our acquisition of new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customers, renewals of and follow-on sales to existing customers, costs associated with operating our cloud-based platform, and the extent to which we expand our operations and customer support organizations. We expect our gross profit to increase in dollar amount and our gross margin to remain relatively consistent over the long term.</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Personnel-related expenses are the most significant component of operating expenses and consist of salaries, benefits, stock-based compensation expense, and, in the case of sales and marketing expenses, sales commissions. Operating expenses also include an allocation of overhead costs for facilities and shared IT-related expenses, including depreciation expense.</w:t>
      </w:r>
    </w:p>
    <w:p>
      <w:pPr>
        <w:spacing w:after="0" w:line="187"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In April 2018, our board of directors approved a plan for a private trust whose sole trustee and grantor is our co-founder, President, Chief Executive Officer, and Chair to purchase up to 3.4 million shares of our Class A and Class B common stock from certain current and former employees for up to $15.9 million. The tender offer closed in May 2018, at which time we recorded $3.8 million in stock-based compensation expense related to the excess of the selling price per share paid to our employees and former employees over the fair value of each tendered share. A total of approximately 1.5 million shares were tendered in the offer.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Research and development expenses consist primarily of personnel-related expenses. These expenses also include product design costs, third-party services and consulting expenses, depreciation expense related to equipment used in research and development activities, and allocated overhead costs. A substantial portion of our research and development efforts are focused on enhancing our software architecture and adding new features and functionality to our platform. We anticipate continuing to invest in innovation and technology development, and as a result, we expect research and development expenses to continue to increase in dollar amount but to decrease as a percentage of revenues over time.</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Sales and marketing expenses consist primarily of personnel-related expenses and expenses for performance marketing and lead generation, brand marketing, and sponsorship activities.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three years.</w:t>
      </w:r>
    </w:p>
    <w:p>
      <w:pPr>
        <w:spacing w:after="0" w:line="187"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We continue to make investments in our sales and marketing organization, and we expect sales and marketing expenses to remain our largest operating expense in dollar amount. We expect our sales and marketing expenses to continue to increase in dollar amount but to decrease as a percentage of revenues over time, although the percentage may fluctuate from quarter to quarter depending on the extent and timing of our marketing initiatives.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General and administrative expenses consist primarily of personnel-related expenses for our finance, human resources, information technology, and legal organizations. These expenses also include non-personnel costs, such as outside legal, accounting, and other professional fees, hardware and software costs, certain tax, license, and insurance-related expenses, and allocated overhead costs.</w:t>
      </w:r>
    </w:p>
    <w:p>
      <w:pPr>
        <w:spacing w:after="0" w:line="184"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We also expect to recognize certain expenses as part of our transition to a publicly-traded company, consisting of professional fees and other</w:t>
      </w:r>
    </w:p>
    <w:p>
      <w:pPr>
        <w:spacing w:after="0" w:line="3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expenses. In the quarter of the listing of our Class A common stock on the , we expect to incur fees paid to our financial advisors in addition to other professional fees and expenses related to such listing. Following the listing of our Class A common stock on the , we expect to continue to</w:t>
      </w:r>
    </w:p>
    <w:p>
      <w:pPr>
        <w:ind w:right="40"/>
        <w:spacing w:after="0" w:line="252" w:lineRule="auto"/>
        <w:rPr>
          <w:sz w:val="20"/>
          <w:szCs w:val="20"/>
          <w:color w:val="auto"/>
        </w:rPr>
      </w:pPr>
      <w:r>
        <w:rPr>
          <w:rFonts w:ascii="Arial" w:cs="Arial" w:eastAsia="Arial" w:hAnsi="Arial"/>
          <w:sz w:val="18"/>
          <w:szCs w:val="18"/>
          <w:color w:val="auto"/>
        </w:rPr>
        <w:t>incur additional expenses as a result of operating as a public company, including costs to comply with the rules and regulations applicable to companies listed on a U.S. securities exchange and costs related to compliance and reporting obligations pursuant to the rules and regulations of the SEC. In addition, as a public company, we expect to incur additional costs associated with accounting, compliance, insurance, and investor relations. As a result, we expect our general and administrative expenses to continue to increase in dollar amount for the foreseeable future but to generally decrease as a percentage of our revenues over the longer term, although the percentage may fluctuate from period to period depending on the timing and amount of our general and administrative expenses.</w:t>
      </w:r>
    </w:p>
    <w:p>
      <w:pPr>
        <w:spacing w:after="0" w:line="3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income (expense), net consists primarily of income earned on our marketable securities and foreign currency transaction gains and losses.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Provision for income taxes consists primarily of income taxes in certain foreign jurisdictions in which we conduct business. To date, we have not recorded any U.S. federal income tax expense, and our state and foreign income tax expenses have not been material. We have recorded deferred tax assets for which we provide a full valuation allowance, which primarily includes net operating loss carryforwards of $276.5 million and research and development tax credit carryforwards of $13.1 million, which begin expiring in 2029 and 2030, respectively. We expect to maintain this full valuation allowance for the foreseeable future as it is not more likely than not the deferred tax assets will be realized based on our history of losses.</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320" w:top="459" w:right="3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800" w:firstLine="449"/>
        <w:spacing w:after="0" w:line="342" w:lineRule="auto"/>
        <w:rPr>
          <w:sz w:val="20"/>
          <w:szCs w:val="20"/>
          <w:color w:val="auto"/>
        </w:rPr>
      </w:pPr>
      <w:r>
        <w:rPr>
          <w:rFonts w:ascii="Arial" w:cs="Arial" w:eastAsia="Arial" w:hAnsi="Arial"/>
          <w:sz w:val="16"/>
          <w:szCs w:val="16"/>
          <w:color w:val="auto"/>
        </w:rPr>
        <w:t>The following tables set forth our results of operations for the periods presented and as a percentage of our revenues for those periods. The period-to-period comparison of financial results is not necessarily indicative of financial results to be achieved in future periods.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Year Ended January 31,</w:t>
            </w:r>
          </w:p>
        </w:tc>
      </w:tr>
      <w:tr>
        <w:trPr>
          <w:trHeight w:val="142"/>
        </w:trPr>
        <w:tc>
          <w:tcPr>
            <w:tcW w:w="90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8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19"/>
        </w:trPr>
        <w:tc>
          <w:tcPr>
            <w:tcW w:w="9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gridSpan w:val="3"/>
          </w:tcPr>
          <w:p>
            <w:pPr>
              <w:jc w:val="center"/>
              <w:ind w:right="48"/>
              <w:spacing w:after="0" w:line="119" w:lineRule="exact"/>
              <w:rPr>
                <w:sz w:val="20"/>
                <w:szCs w:val="20"/>
                <w:color w:val="auto"/>
              </w:rPr>
            </w:pPr>
            <w:r>
              <w:rPr>
                <w:rFonts w:ascii="Arial" w:cs="Arial" w:eastAsia="Arial" w:hAnsi="Arial"/>
                <w:sz w:val="13"/>
                <w:szCs w:val="13"/>
                <w:b w:val="1"/>
                <w:bCs w:val="1"/>
                <w:color w:val="auto"/>
                <w:w w:val="97"/>
              </w:rPr>
              <w:t>(in thousands, except per</w:t>
            </w:r>
          </w:p>
        </w:tc>
        <w:tc>
          <w:tcPr>
            <w:tcW w:w="40" w:type="dxa"/>
            <w:vAlign w:val="bottom"/>
          </w:tcPr>
          <w:p>
            <w:pPr>
              <w:spacing w:after="0"/>
              <w:rPr>
                <w:sz w:val="10"/>
                <w:szCs w:val="10"/>
                <w:color w:val="auto"/>
              </w:rPr>
            </w:pPr>
          </w:p>
        </w:tc>
      </w:tr>
      <w:tr>
        <w:trPr>
          <w:trHeight w:val="171"/>
        </w:trPr>
        <w:tc>
          <w:tcPr>
            <w:tcW w:w="9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left="355"/>
              <w:spacing w:after="0"/>
              <w:rPr>
                <w:sz w:val="20"/>
                <w:szCs w:val="20"/>
                <w:color w:val="auto"/>
              </w:rPr>
            </w:pPr>
            <w:r>
              <w:rPr>
                <w:rFonts w:ascii="Arial" w:cs="Arial" w:eastAsia="Arial" w:hAnsi="Arial"/>
                <w:sz w:val="14"/>
                <w:szCs w:val="14"/>
                <w:b w:val="1"/>
                <w:bCs w:val="1"/>
                <w:color w:val="auto"/>
                <w:w w:val="90"/>
              </w:rPr>
              <w:t>share amounts)</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76,770</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(1)</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13,832</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62,938</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42,585</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52,106</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20,260</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114,951</w:t>
            </w: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8"/>
              </w:rPr>
              <w:t>(52,013)</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8"/>
              </w:rPr>
              <w:t>(50,900)</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8"/>
              </w:rPr>
              <w:t>(50,928)</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Amounts include stock-based compensation expense as follows:</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Year Ended January 31,</w:t>
            </w:r>
          </w:p>
        </w:tc>
      </w:tr>
      <w:tr>
        <w:trPr>
          <w:trHeight w:val="142"/>
        </w:trPr>
        <w:tc>
          <w:tcPr>
            <w:tcW w:w="83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2019</w:t>
            </w:r>
          </w:p>
        </w:tc>
        <w:tc>
          <w:tcPr>
            <w:tcW w:w="9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42"/>
        </w:trPr>
        <w:tc>
          <w:tcPr>
            <w:tcW w:w="8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left="388"/>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8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37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836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160" w:type="dxa"/>
            <w:vAlign w:val="bottom"/>
          </w:tcPr>
          <w:p>
            <w:pPr>
              <w:spacing w:after="0"/>
              <w:rPr>
                <w:sz w:val="12"/>
                <w:szCs w:val="12"/>
                <w:color w:val="auto"/>
              </w:rPr>
            </w:pPr>
          </w:p>
        </w:tc>
        <w:tc>
          <w:tcPr>
            <w:tcW w:w="1500" w:type="dxa"/>
            <w:vAlign w:val="bottom"/>
            <w:gridSpan w:val="2"/>
          </w:tcPr>
          <w:p>
            <w:pPr>
              <w:jc w:val="right"/>
              <w:ind w:right="920"/>
              <w:spacing w:after="0" w:line="149" w:lineRule="exact"/>
              <w:rPr>
                <w:sz w:val="20"/>
                <w:szCs w:val="20"/>
                <w:color w:val="auto"/>
              </w:rPr>
            </w:pPr>
            <w:r>
              <w:rPr>
                <w:rFonts w:ascii="Arial" w:cs="Arial" w:eastAsia="Arial" w:hAnsi="Arial"/>
                <w:sz w:val="14"/>
                <w:szCs w:val="14"/>
                <w:color w:val="auto"/>
              </w:rPr>
              <w:t>5,160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8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16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2,108</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5"/>
        </w:trPr>
        <w:tc>
          <w:tcPr>
            <w:tcW w:w="8360" w:type="dxa"/>
            <w:vAlign w:val="bottom"/>
          </w:tcPr>
          <w:p>
            <w:pPr>
              <w:spacing w:after="0" w:line="149" w:lineRule="exact"/>
              <w:rPr>
                <w:sz w:val="20"/>
                <w:szCs w:val="20"/>
                <w:color w:val="auto"/>
              </w:rPr>
            </w:pPr>
            <w:r>
              <w:rPr>
                <w:rFonts w:ascii="Arial" w:cs="Arial" w:eastAsia="Arial" w:hAnsi="Arial"/>
                <w:sz w:val="14"/>
                <w:szCs w:val="14"/>
                <w:color w:val="auto"/>
              </w:rPr>
              <w:t>General and administrative</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1,242</w:t>
            </w: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8"/>
        </w:trPr>
        <w:tc>
          <w:tcPr>
            <w:tcW w:w="8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stock-based compensation expense</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920"/>
              <w:spacing w:after="0" w:line="149" w:lineRule="exact"/>
              <w:rPr>
                <w:sz w:val="20"/>
                <w:szCs w:val="20"/>
                <w:color w:val="auto"/>
              </w:rPr>
            </w:pPr>
            <w:r>
              <w:rPr>
                <w:rFonts w:ascii="Arial" w:cs="Arial" w:eastAsia="Arial" w:hAnsi="Arial"/>
                <w:sz w:val="14"/>
                <w:szCs w:val="14"/>
                <w:color w:val="auto"/>
              </w:rPr>
              <w:t>8,547</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20"/>
        </w:trPr>
        <w:tc>
          <w:tcPr>
            <w:tcW w:w="8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6" w:lineRule="exact"/>
        <w:rPr>
          <w:sz w:val="20"/>
          <w:szCs w:val="20"/>
          <w:color w:val="auto"/>
        </w:rPr>
      </w:pPr>
    </w:p>
    <w:p>
      <w:pPr>
        <w:ind w:left="460" w:right="180"/>
        <w:spacing w:after="0" w:line="253" w:lineRule="auto"/>
        <w:rPr>
          <w:sz w:val="20"/>
          <w:szCs w:val="20"/>
          <w:color w:val="auto"/>
        </w:rPr>
      </w:pPr>
      <w:r>
        <w:rPr>
          <w:rFonts w:ascii="Arial" w:cs="Arial" w:eastAsia="Arial" w:hAnsi="Arial"/>
          <w:sz w:val="14"/>
          <w:szCs w:val="14"/>
          <w:color w:val="auto"/>
        </w:rPr>
        <w:t>Stock-based compensation expense for fiscal 2019 includes $3.8 million of compensation expense related to the tender offer described above and in Note 9 to our consolidated financial statements included elsewhere in this prospectus.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components of our statements of operations data, for each of the periods presented, as a percentage of revenues.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60" w:type="dxa"/>
            <w:vAlign w:val="bottom"/>
          </w:tcPr>
          <w:p>
            <w:pPr>
              <w:spacing w:after="0"/>
              <w:rPr>
                <w:sz w:val="14"/>
                <w:szCs w:val="14"/>
                <w:color w:val="auto"/>
              </w:rPr>
            </w:pPr>
          </w:p>
        </w:tc>
        <w:tc>
          <w:tcPr>
            <w:tcW w:w="2280" w:type="dxa"/>
            <w:vAlign w:val="bottom"/>
            <w:gridSpan w:val="4"/>
          </w:tcPr>
          <w:p>
            <w:pPr>
              <w:ind w:left="36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89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8960" w:type="dxa"/>
            <w:vAlign w:val="bottom"/>
          </w:tcPr>
          <w:p>
            <w:pPr>
              <w:spacing w:after="0"/>
              <w:rPr>
                <w:sz w:val="12"/>
                <w:szCs w:val="12"/>
                <w:color w:val="auto"/>
              </w:rPr>
            </w:pPr>
          </w:p>
        </w:tc>
        <w:tc>
          <w:tcPr>
            <w:tcW w:w="2220" w:type="dxa"/>
            <w:vAlign w:val="bottom"/>
            <w:gridSpan w:val="3"/>
          </w:tcPr>
          <w:p>
            <w:pPr>
              <w:ind w:left="460"/>
              <w:spacing w:after="0" w:line="142" w:lineRule="exact"/>
              <w:rPr>
                <w:sz w:val="20"/>
                <w:szCs w:val="20"/>
                <w:color w:val="auto"/>
              </w:rPr>
            </w:pPr>
            <w:r>
              <w:rPr>
                <w:rFonts w:ascii="Arial" w:cs="Arial" w:eastAsia="Arial" w:hAnsi="Arial"/>
                <w:sz w:val="14"/>
                <w:szCs w:val="14"/>
                <w:b w:val="1"/>
                <w:bCs w:val="1"/>
                <w:color w:val="auto"/>
              </w:rPr>
              <w:t>(percent of revenues)</w:t>
            </w:r>
          </w:p>
        </w:tc>
        <w:tc>
          <w:tcPr>
            <w:tcW w:w="60" w:type="dxa"/>
            <w:vAlign w:val="bottom"/>
          </w:tcPr>
          <w:p>
            <w:pPr>
              <w:spacing w:after="0"/>
              <w:rPr>
                <w:sz w:val="12"/>
                <w:szCs w:val="12"/>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Cost of revenues</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18</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8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82</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896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68</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79"/>
              </w:rPr>
              <w:t>150</w:t>
            </w:r>
          </w:p>
        </w:tc>
        <w:tc>
          <w:tcPr>
            <w:tcW w:w="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8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89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89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Note: Certain figures may not sum due to rounding.</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Fiscal 2019 and Fiscal 2020</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Year Ended January 31,</w:t>
            </w:r>
          </w:p>
        </w:tc>
        <w:tc>
          <w:tcPr>
            <w:tcW w:w="76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220" w:type="dxa"/>
            <w:vAlign w:val="bottom"/>
          </w:tcPr>
          <w:p>
            <w:pPr>
              <w:jc w:val="right"/>
              <w:ind w:right="648"/>
              <w:spacing w:after="0" w:line="142" w:lineRule="exact"/>
              <w:rPr>
                <w:sz w:val="20"/>
                <w:szCs w:val="20"/>
                <w:color w:val="auto"/>
              </w:rPr>
            </w:pPr>
            <w:r>
              <w:rPr>
                <w:rFonts w:ascii="Arial" w:cs="Arial" w:eastAsia="Arial" w:hAnsi="Arial"/>
                <w:sz w:val="14"/>
                <w:szCs w:val="14"/>
                <w:b w:val="1"/>
                <w:bCs w:val="1"/>
                <w:color w:val="auto"/>
              </w:rPr>
              <w:t>2019</w:t>
            </w:r>
          </w:p>
        </w:tc>
        <w:tc>
          <w:tcPr>
            <w:tcW w:w="100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7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2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7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14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  76,770</w:t>
            </w: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300" w:type="dxa"/>
            <w:vAlign w:val="bottom"/>
          </w:tcPr>
          <w:p>
            <w:pPr>
              <w:ind w:left="460"/>
              <w:spacing w:after="0"/>
              <w:rPr>
                <w:sz w:val="20"/>
                <w:szCs w:val="20"/>
                <w:color w:val="auto"/>
              </w:rPr>
            </w:pPr>
            <w:r>
              <w:rPr>
                <w:rFonts w:ascii="Arial" w:cs="Arial" w:eastAsia="Arial" w:hAnsi="Arial"/>
                <w:sz w:val="18"/>
                <w:szCs w:val="18"/>
                <w:color w:val="auto"/>
              </w:rPr>
              <w:t>Revenues increased $</w:t>
            </w:r>
          </w:p>
        </w:tc>
        <w:tc>
          <w:tcPr>
            <w:tcW w:w="8940" w:type="dxa"/>
            <w:vAlign w:val="bottom"/>
            <w:gridSpan w:val="8"/>
          </w:tcPr>
          <w:p>
            <w:pPr>
              <w:ind w:left="300"/>
              <w:spacing w:after="0"/>
              <w:rPr>
                <w:sz w:val="20"/>
                <w:szCs w:val="20"/>
                <w:color w:val="auto"/>
              </w:rPr>
            </w:pPr>
            <w:r>
              <w:rPr>
                <w:rFonts w:ascii="Arial" w:cs="Arial" w:eastAsia="Arial" w:hAnsi="Arial"/>
                <w:sz w:val="18"/>
                <w:szCs w:val="18"/>
                <w:color w:val="auto"/>
                <w:w w:val="94"/>
              </w:rPr>
              <w:t>million, or   %, for fiscal 2020 compared to fiscal 2019. The increase in revenues was primarily due to both a shift in</w:t>
            </w:r>
          </w:p>
        </w:tc>
        <w:tc>
          <w:tcPr>
            <w:tcW w:w="0" w:type="dxa"/>
            <w:vAlign w:val="bottom"/>
          </w:tcPr>
          <w:p>
            <w:pPr>
              <w:spacing w:after="0"/>
              <w:rPr>
                <w:sz w:val="1"/>
                <w:szCs w:val="1"/>
                <w:color w:val="auto"/>
              </w:rPr>
            </w:pPr>
          </w:p>
        </w:tc>
      </w:tr>
    </w:tbl>
    <w:p>
      <w:pPr>
        <w:ind w:right="100"/>
        <w:spacing w:after="0" w:line="255" w:lineRule="auto"/>
        <w:rPr>
          <w:sz w:val="20"/>
          <w:szCs w:val="20"/>
          <w:color w:val="auto"/>
        </w:rPr>
      </w:pPr>
      <w:r>
        <w:rPr>
          <w:rFonts w:ascii="Arial" w:cs="Arial" w:eastAsia="Arial" w:hAnsi="Arial"/>
          <w:sz w:val="18"/>
          <w:szCs w:val="18"/>
          <w:color w:val="auto"/>
        </w:rPr>
        <w:t>our sales mix toward our higher priced subscription plans, such as Enterprise and Business plans, and increased sales of our higher priced subscription plans, the addition of new paying customers, and revenues generated from our existing paying customers as reflected by our dollar-based net retention rate of % as of January 31, 2020.</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2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b w:val="1"/>
                <w:bCs w:val="1"/>
                <w:color w:val="auto"/>
                <w:w w:val="93"/>
              </w:rPr>
              <w:t>Year Ended January 31,</w:t>
            </w:r>
          </w:p>
        </w:tc>
        <w:tc>
          <w:tcPr>
            <w:tcW w:w="12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40" w:type="dxa"/>
            <w:vAlign w:val="bottom"/>
          </w:tcPr>
          <w:p>
            <w:pPr>
              <w:jc w:val="right"/>
              <w:ind w:right="1268"/>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83"/>
              </w:rPr>
              <w:t>2020</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40" w:type="dxa"/>
            <w:vAlign w:val="bottom"/>
            <w:tcBorders>
              <w:top w:val="single" w:sz="8" w:color="auto"/>
            </w:tcBorders>
          </w:tcPr>
          <w:p>
            <w:pPr>
              <w:jc w:val="center"/>
              <w:ind w:left="428"/>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8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jc w:val="right"/>
              <w:ind w:right="1048"/>
              <w:spacing w:after="0"/>
              <w:rPr>
                <w:sz w:val="20"/>
                <w:szCs w:val="20"/>
                <w:color w:val="auto"/>
              </w:rPr>
            </w:pPr>
            <w:r>
              <w:rPr>
                <w:rFonts w:ascii="Arial" w:cs="Arial" w:eastAsia="Arial" w:hAnsi="Arial"/>
                <w:sz w:val="18"/>
                <w:szCs w:val="18"/>
                <w:color w:val="auto"/>
              </w:rPr>
              <w:t>$  13,832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Gross margin</w:t>
            </w:r>
          </w:p>
        </w:tc>
        <w:tc>
          <w:tcPr>
            <w:tcW w:w="880" w:type="dxa"/>
            <w:vAlign w:val="bottom"/>
          </w:tcPr>
          <w:p>
            <w:pPr>
              <w:spacing w:after="0"/>
              <w:rPr>
                <w:sz w:val="20"/>
                <w:szCs w:val="20"/>
                <w:color w:val="auto"/>
              </w:rPr>
            </w:pPr>
          </w:p>
        </w:tc>
        <w:tc>
          <w:tcPr>
            <w:tcW w:w="4260" w:type="dxa"/>
            <w:vAlign w:val="bottom"/>
            <w:gridSpan w:val="2"/>
          </w:tcPr>
          <w:p>
            <w:pPr>
              <w:jc w:val="right"/>
              <w:ind w:right="908"/>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2860" w:type="dxa"/>
            <w:vAlign w:val="bottom"/>
          </w:tcPr>
          <w:p>
            <w:pPr>
              <w:ind w:left="460"/>
              <w:spacing w:after="0"/>
              <w:rPr>
                <w:sz w:val="20"/>
                <w:szCs w:val="20"/>
                <w:color w:val="auto"/>
              </w:rPr>
            </w:pPr>
            <w:r>
              <w:rPr>
                <w:rFonts w:ascii="Arial" w:cs="Arial" w:eastAsia="Arial" w:hAnsi="Arial"/>
                <w:sz w:val="18"/>
                <w:szCs w:val="18"/>
                <w:color w:val="auto"/>
              </w:rPr>
              <w:t>Cost of revenues increased $</w:t>
            </w:r>
          </w:p>
        </w:tc>
        <w:tc>
          <w:tcPr>
            <w:tcW w:w="880" w:type="dxa"/>
            <w:vAlign w:val="bottom"/>
          </w:tcPr>
          <w:p>
            <w:pPr>
              <w:ind w:left="80"/>
              <w:spacing w:after="0"/>
              <w:rPr>
                <w:sz w:val="20"/>
                <w:szCs w:val="20"/>
                <w:color w:val="auto"/>
              </w:rPr>
            </w:pPr>
            <w:r>
              <w:rPr>
                <w:rFonts w:ascii="Arial" w:cs="Arial" w:eastAsia="Arial" w:hAnsi="Arial"/>
                <w:sz w:val="18"/>
                <w:szCs w:val="18"/>
                <w:color w:val="auto"/>
              </w:rPr>
              <w:t>million, or</w:t>
            </w:r>
          </w:p>
        </w:tc>
        <w:tc>
          <w:tcPr>
            <w:tcW w:w="7500" w:type="dxa"/>
            <w:vAlign w:val="bottom"/>
            <w:gridSpan w:val="9"/>
          </w:tcPr>
          <w:p>
            <w:pPr>
              <w:jc w:val="center"/>
              <w:ind w:right="360"/>
              <w:spacing w:after="0"/>
              <w:rPr>
                <w:sz w:val="20"/>
                <w:szCs w:val="20"/>
                <w:color w:val="auto"/>
              </w:rPr>
            </w:pPr>
            <w:r>
              <w:rPr>
                <w:rFonts w:ascii="Arial" w:cs="Arial" w:eastAsia="Arial" w:hAnsi="Arial"/>
                <w:sz w:val="18"/>
                <w:szCs w:val="18"/>
                <w:color w:val="auto"/>
                <w:w w:val="90"/>
              </w:rPr>
              <w:t>%, for fiscal 2020 compared to fiscal 2019. The increase was primarily due to an increase of $</w:t>
            </w:r>
          </w:p>
        </w:tc>
        <w:tc>
          <w:tcPr>
            <w:tcW w:w="0" w:type="dxa"/>
            <w:vAlign w:val="bottom"/>
          </w:tcPr>
          <w:p>
            <w:pPr>
              <w:spacing w:after="0"/>
              <w:rPr>
                <w:sz w:val="1"/>
                <w:szCs w:val="1"/>
                <w:color w:val="auto"/>
              </w:rPr>
            </w:pPr>
          </w:p>
        </w:tc>
      </w:tr>
      <w:tr>
        <w:trPr>
          <w:trHeight w:val="216"/>
        </w:trPr>
        <w:tc>
          <w:tcPr>
            <w:tcW w:w="9220" w:type="dxa"/>
            <w:vAlign w:val="bottom"/>
            <w:gridSpan w:val="7"/>
          </w:tcPr>
          <w:p>
            <w:pPr>
              <w:spacing w:after="0"/>
              <w:rPr>
                <w:sz w:val="20"/>
                <w:szCs w:val="20"/>
                <w:color w:val="auto"/>
              </w:rPr>
            </w:pPr>
            <w:r>
              <w:rPr>
                <w:rFonts w:ascii="Arial" w:cs="Arial" w:eastAsia="Arial" w:hAnsi="Arial"/>
                <w:sz w:val="18"/>
                <w:szCs w:val="18"/>
                <w:color w:val="auto"/>
                <w:w w:val="94"/>
              </w:rPr>
              <w:t>million in third-party hosting costs as we increased capacity to support customer usage and growth of our customer base, $</w:t>
            </w:r>
          </w:p>
        </w:tc>
        <w:tc>
          <w:tcPr>
            <w:tcW w:w="2020" w:type="dxa"/>
            <w:vAlign w:val="bottom"/>
            <w:gridSpan w:val="4"/>
          </w:tcPr>
          <w:p>
            <w:pPr>
              <w:ind w:left="20"/>
              <w:spacing w:after="0"/>
              <w:rPr>
                <w:sz w:val="20"/>
                <w:szCs w:val="20"/>
                <w:color w:val="auto"/>
              </w:rPr>
            </w:pPr>
            <w:r>
              <w:rPr>
                <w:rFonts w:ascii="Arial" w:cs="Arial" w:eastAsia="Arial" w:hAnsi="Arial"/>
                <w:sz w:val="18"/>
                <w:szCs w:val="18"/>
                <w:color w:val="auto"/>
              </w:rPr>
              <w:t>million in personnel-</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w w:val="96"/>
              </w:rPr>
              <w:t>related costs due to increased headcount, and $</w:t>
            </w:r>
          </w:p>
        </w:tc>
        <w:tc>
          <w:tcPr>
            <w:tcW w:w="4640" w:type="dxa"/>
            <w:vAlign w:val="bottom"/>
            <w:gridSpan w:val="3"/>
          </w:tcPr>
          <w:p>
            <w:pPr>
              <w:jc w:val="right"/>
              <w:ind w:right="228"/>
              <w:spacing w:after="0"/>
              <w:rPr>
                <w:sz w:val="20"/>
                <w:szCs w:val="20"/>
                <w:color w:val="auto"/>
              </w:rPr>
            </w:pPr>
            <w:r>
              <w:rPr>
                <w:rFonts w:ascii="Arial" w:cs="Arial" w:eastAsia="Arial" w:hAnsi="Arial"/>
                <w:sz w:val="18"/>
                <w:szCs w:val="18"/>
                <w:color w:val="auto"/>
                <w:w w:val="92"/>
              </w:rPr>
              <w:t>million in credit card processing fees, partially offset by a $</w:t>
            </w:r>
          </w:p>
        </w:tc>
        <w:tc>
          <w:tcPr>
            <w:tcW w:w="2860" w:type="dxa"/>
            <w:vAlign w:val="bottom"/>
            <w:gridSpan w:val="6"/>
          </w:tcPr>
          <w:p>
            <w:pPr>
              <w:ind w:left="100"/>
              <w:spacing w:after="0"/>
              <w:rPr>
                <w:sz w:val="20"/>
                <w:szCs w:val="20"/>
                <w:color w:val="auto"/>
              </w:rPr>
            </w:pPr>
            <w:r>
              <w:rPr>
                <w:rFonts w:ascii="Arial" w:cs="Arial" w:eastAsia="Arial" w:hAnsi="Arial"/>
                <w:sz w:val="18"/>
                <w:szCs w:val="18"/>
                <w:color w:val="auto"/>
              </w:rPr>
              <w:t>million decrease in amortization of</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w w:val="91"/>
              </w:rPr>
              <w:t>capitalized internal-use software costs.</w:t>
            </w:r>
          </w:p>
        </w:tc>
        <w:tc>
          <w:tcPr>
            <w:tcW w:w="8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20" w:type="dxa"/>
            <w:vAlign w:val="bottom"/>
          </w:tcPr>
          <w:p>
            <w:pPr>
              <w:jc w:val="right"/>
              <w:ind w:right="350"/>
              <w:spacing w:after="0"/>
              <w:rPr>
                <w:sz w:val="20"/>
                <w:szCs w:val="20"/>
                <w:color w:val="auto"/>
              </w:rPr>
            </w:pPr>
            <w:r>
              <w:rPr>
                <w:rFonts w:ascii="Arial" w:cs="Arial" w:eastAsia="Arial" w:hAnsi="Arial"/>
                <w:sz w:val="18"/>
                <w:szCs w:val="18"/>
                <w:color w:val="auto"/>
              </w:rPr>
              <w:t>64</w:t>
            </w: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Our gross margin increased for fiscal 2020 compared to fiscal 2019 as we more efficiently managed third-party hosting costs, realized benefits due to economies of scale resulting from increased efficiency with our technology and infrastructure, and experienced a decrease in amortization of capitalized internal-use software costs.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68"/>
              <w:spacing w:after="0"/>
              <w:rPr>
                <w:sz w:val="20"/>
                <w:szCs w:val="20"/>
                <w:color w:val="auto"/>
              </w:rPr>
            </w:pPr>
            <w:r>
              <w:rPr>
                <w:rFonts w:ascii="Arial" w:cs="Arial" w:eastAsia="Arial" w:hAnsi="Arial"/>
                <w:sz w:val="14"/>
                <w:szCs w:val="14"/>
                <w:b w:val="1"/>
                <w:bCs w:val="1"/>
                <w:color w:val="auto"/>
                <w:w w:val="94"/>
              </w:rPr>
              <w:t>Year Ended January 31,</w:t>
            </w:r>
          </w:p>
        </w:tc>
        <w:tc>
          <w:tcPr>
            <w:tcW w:w="380" w:type="dxa"/>
            <w:vAlign w:val="bottom"/>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114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3"/>
          </w:tcPr>
          <w:p>
            <w:pPr>
              <w:jc w:val="center"/>
              <w:ind w:right="68"/>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42,585</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52,106</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20,260</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114,951</w:t>
            </w:r>
          </w:p>
        </w:tc>
        <w:tc>
          <w:tcPr>
            <w:tcW w:w="2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gridSpan w:val="2"/>
          </w:tcPr>
          <w:p>
            <w:pPr>
              <w:ind w:left="460"/>
              <w:spacing w:after="0"/>
              <w:rPr>
                <w:sz w:val="20"/>
                <w:szCs w:val="20"/>
                <w:color w:val="auto"/>
              </w:rPr>
            </w:pPr>
            <w:r>
              <w:rPr>
                <w:rFonts w:ascii="Arial" w:cs="Arial" w:eastAsia="Arial" w:hAnsi="Arial"/>
                <w:sz w:val="18"/>
                <w:szCs w:val="18"/>
                <w:i w:val="1"/>
                <w:iCs w:val="1"/>
                <w:color w:val="auto"/>
              </w:rPr>
              <w:t>Research and Development</w:t>
            </w: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160" w:type="dxa"/>
            <w:vAlign w:val="bottom"/>
            <w:gridSpan w:val="4"/>
          </w:tcPr>
          <w:p>
            <w:pPr>
              <w:ind w:left="460"/>
              <w:spacing w:after="0"/>
              <w:rPr>
                <w:sz w:val="20"/>
                <w:szCs w:val="20"/>
                <w:color w:val="auto"/>
              </w:rPr>
            </w:pPr>
            <w:r>
              <w:rPr>
                <w:rFonts w:ascii="Arial" w:cs="Arial" w:eastAsia="Arial" w:hAnsi="Arial"/>
                <w:sz w:val="18"/>
                <w:szCs w:val="18"/>
                <w:color w:val="auto"/>
                <w:w w:val="91"/>
              </w:rPr>
              <w:t>Research and development expenses increased $</w:t>
            </w:r>
          </w:p>
        </w:tc>
        <w:tc>
          <w:tcPr>
            <w:tcW w:w="1080" w:type="dxa"/>
            <w:vAlign w:val="bottom"/>
          </w:tcPr>
          <w:p>
            <w:pPr>
              <w:ind w:left="200"/>
              <w:spacing w:after="0"/>
              <w:rPr>
                <w:sz w:val="20"/>
                <w:szCs w:val="20"/>
                <w:color w:val="auto"/>
              </w:rPr>
            </w:pPr>
            <w:r>
              <w:rPr>
                <w:rFonts w:ascii="Arial" w:cs="Arial" w:eastAsia="Arial" w:hAnsi="Arial"/>
                <w:sz w:val="18"/>
                <w:szCs w:val="18"/>
                <w:color w:val="auto"/>
              </w:rPr>
              <w:t>million, or</w:t>
            </w:r>
          </w:p>
        </w:tc>
        <w:tc>
          <w:tcPr>
            <w:tcW w:w="6000" w:type="dxa"/>
            <w:vAlign w:val="bottom"/>
            <w:gridSpan w:val="10"/>
          </w:tcPr>
          <w:p>
            <w:pPr>
              <w:ind w:left="100"/>
              <w:spacing w:after="0"/>
              <w:rPr>
                <w:sz w:val="20"/>
                <w:szCs w:val="20"/>
                <w:color w:val="auto"/>
              </w:rPr>
            </w:pPr>
            <w:r>
              <w:rPr>
                <w:rFonts w:ascii="Arial" w:cs="Arial" w:eastAsia="Arial" w:hAnsi="Arial"/>
                <w:sz w:val="18"/>
                <w:szCs w:val="18"/>
                <w:color w:val="auto"/>
                <w:w w:val="92"/>
              </w:rPr>
              <w:t>%, for fiscal 2020 compared to fiscal 2019. The increase was primarily due to an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increase of $</w:t>
            </w:r>
          </w:p>
        </w:tc>
        <w:tc>
          <w:tcPr>
            <w:tcW w:w="6600" w:type="dxa"/>
            <w:vAlign w:val="bottom"/>
            <w:gridSpan w:val="7"/>
          </w:tcPr>
          <w:p>
            <w:pPr>
              <w:ind w:left="220"/>
              <w:spacing w:after="0"/>
              <w:rPr>
                <w:sz w:val="20"/>
                <w:szCs w:val="20"/>
                <w:color w:val="auto"/>
              </w:rPr>
            </w:pPr>
            <w:r>
              <w:rPr>
                <w:rFonts w:ascii="Arial" w:cs="Arial" w:eastAsia="Arial" w:hAnsi="Arial"/>
                <w:sz w:val="18"/>
                <w:szCs w:val="18"/>
                <w:color w:val="auto"/>
                <w:w w:val="92"/>
              </w:rPr>
              <w:t>million in personnel-related expenses driven by higher headcount and an increase of $</w:t>
            </w:r>
          </w:p>
        </w:tc>
        <w:tc>
          <w:tcPr>
            <w:tcW w:w="3520" w:type="dxa"/>
            <w:vAlign w:val="bottom"/>
            <w:gridSpan w:val="7"/>
          </w:tcPr>
          <w:p>
            <w:pPr>
              <w:ind w:left="220"/>
              <w:spacing w:after="0"/>
              <w:rPr>
                <w:sz w:val="20"/>
                <w:szCs w:val="20"/>
                <w:color w:val="auto"/>
              </w:rPr>
            </w:pPr>
            <w:r>
              <w:rPr>
                <w:rFonts w:ascii="Arial" w:cs="Arial" w:eastAsia="Arial" w:hAnsi="Arial"/>
                <w:sz w:val="18"/>
                <w:szCs w:val="18"/>
                <w:color w:val="auto"/>
                <w:w w:val="90"/>
              </w:rPr>
              <w:t>million in allocated overhead costs as a result</w:t>
            </w:r>
          </w:p>
        </w:tc>
        <w:tc>
          <w:tcPr>
            <w:tcW w:w="0" w:type="dxa"/>
            <w:vAlign w:val="bottom"/>
          </w:tcPr>
          <w:p>
            <w:pPr>
              <w:spacing w:after="0"/>
              <w:rPr>
                <w:sz w:val="1"/>
                <w:szCs w:val="1"/>
                <w:color w:val="auto"/>
              </w:rPr>
            </w:pPr>
          </w:p>
        </w:tc>
      </w:tr>
      <w:tr>
        <w:trPr>
          <w:trHeight w:val="230"/>
        </w:trPr>
        <w:tc>
          <w:tcPr>
            <w:tcW w:w="7720" w:type="dxa"/>
            <w:vAlign w:val="bottom"/>
            <w:gridSpan w:val="8"/>
          </w:tcPr>
          <w:p>
            <w:pPr>
              <w:spacing w:after="0"/>
              <w:rPr>
                <w:sz w:val="20"/>
                <w:szCs w:val="20"/>
                <w:color w:val="auto"/>
              </w:rPr>
            </w:pPr>
            <w:r>
              <w:rPr>
                <w:rFonts w:ascii="Arial" w:cs="Arial" w:eastAsia="Arial" w:hAnsi="Arial"/>
                <w:sz w:val="18"/>
                <w:szCs w:val="18"/>
                <w:color w:val="auto"/>
              </w:rPr>
              <w:t>of increased overall costs to support the growth of our business and related infrastructure.</w:t>
            </w: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20" w:type="dxa"/>
            <w:vAlign w:val="bottom"/>
            <w:gridSpan w:val="2"/>
          </w:tcPr>
          <w:p>
            <w:pPr>
              <w:ind w:left="460"/>
              <w:spacing w:after="0"/>
              <w:rPr>
                <w:sz w:val="20"/>
                <w:szCs w:val="20"/>
                <w:color w:val="auto"/>
              </w:rPr>
            </w:pPr>
            <w:r>
              <w:rPr>
                <w:rFonts w:ascii="Arial" w:cs="Arial" w:eastAsia="Arial" w:hAnsi="Arial"/>
                <w:sz w:val="18"/>
                <w:szCs w:val="18"/>
                <w:i w:val="1"/>
                <w:iCs w:val="1"/>
                <w:color w:val="auto"/>
              </w:rPr>
              <w:t>Sales and Marketing</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80" w:type="dxa"/>
            <w:vAlign w:val="bottom"/>
            <w:gridSpan w:val="3"/>
          </w:tcPr>
          <w:p>
            <w:pPr>
              <w:ind w:left="460"/>
              <w:spacing w:after="0"/>
              <w:rPr>
                <w:sz w:val="20"/>
                <w:szCs w:val="20"/>
                <w:color w:val="auto"/>
              </w:rPr>
            </w:pPr>
            <w:r>
              <w:rPr>
                <w:rFonts w:ascii="Arial" w:cs="Arial" w:eastAsia="Arial" w:hAnsi="Arial"/>
                <w:sz w:val="18"/>
                <w:szCs w:val="18"/>
                <w:color w:val="auto"/>
                <w:w w:val="92"/>
              </w:rPr>
              <w:t>Sales and marketing expenses increased $</w:t>
            </w:r>
          </w:p>
        </w:tc>
        <w:tc>
          <w:tcPr>
            <w:tcW w:w="7560" w:type="dxa"/>
            <w:vAlign w:val="bottom"/>
            <w:gridSpan w:val="12"/>
          </w:tcPr>
          <w:p>
            <w:pPr>
              <w:ind w:left="200"/>
              <w:spacing w:after="0"/>
              <w:rPr>
                <w:sz w:val="20"/>
                <w:szCs w:val="20"/>
                <w:color w:val="auto"/>
              </w:rPr>
            </w:pPr>
            <w:r>
              <w:rPr>
                <w:rFonts w:ascii="Arial" w:cs="Arial" w:eastAsia="Arial" w:hAnsi="Arial"/>
                <w:sz w:val="18"/>
                <w:szCs w:val="18"/>
                <w:color w:val="auto"/>
              </w:rPr>
              <w:t>million, or   %, for fiscal 2020 compared to fiscal 2019. The increase was primarily due to an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increase of $</w:t>
            </w:r>
          </w:p>
        </w:tc>
        <w:tc>
          <w:tcPr>
            <w:tcW w:w="10120" w:type="dxa"/>
            <w:vAlign w:val="bottom"/>
            <w:gridSpan w:val="14"/>
          </w:tcPr>
          <w:p>
            <w:pPr>
              <w:ind w:left="220"/>
              <w:spacing w:after="0"/>
              <w:rPr>
                <w:sz w:val="20"/>
                <w:szCs w:val="20"/>
                <w:color w:val="auto"/>
              </w:rPr>
            </w:pPr>
            <w:r>
              <w:rPr>
                <w:rFonts w:ascii="Arial" w:cs="Arial" w:eastAsia="Arial" w:hAnsi="Arial"/>
                <w:sz w:val="18"/>
                <w:szCs w:val="18"/>
                <w:color w:val="auto"/>
                <w:w w:val="92"/>
              </w:rPr>
              <w:t>million in personnel-related expenses as a result of higher headcount and sales commissions for our sales personnel, an increase of $</w:t>
            </w:r>
          </w:p>
        </w:tc>
        <w:tc>
          <w:tcPr>
            <w:tcW w:w="0" w:type="dxa"/>
            <w:vAlign w:val="bottom"/>
          </w:tcPr>
          <w:p>
            <w:pPr>
              <w:spacing w:after="0"/>
              <w:rPr>
                <w:sz w:val="1"/>
                <w:szCs w:val="1"/>
                <w:color w:val="auto"/>
              </w:rPr>
            </w:pPr>
          </w:p>
        </w:tc>
      </w:tr>
      <w:tr>
        <w:trPr>
          <w:trHeight w:val="216"/>
        </w:trPr>
        <w:tc>
          <w:tcPr>
            <w:tcW w:w="5720" w:type="dxa"/>
            <w:vAlign w:val="bottom"/>
            <w:gridSpan w:val="6"/>
          </w:tcPr>
          <w:p>
            <w:pPr>
              <w:spacing w:after="0"/>
              <w:rPr>
                <w:sz w:val="20"/>
                <w:szCs w:val="20"/>
                <w:color w:val="auto"/>
              </w:rPr>
            </w:pPr>
            <w:r>
              <w:rPr>
                <w:rFonts w:ascii="Arial" w:cs="Arial" w:eastAsia="Arial" w:hAnsi="Arial"/>
                <w:sz w:val="18"/>
                <w:szCs w:val="18"/>
                <w:color w:val="auto"/>
                <w:w w:val="94"/>
              </w:rPr>
              <w:t>million in advertising expenses for our marketing programs, an increase of $</w:t>
            </w:r>
          </w:p>
        </w:tc>
        <w:tc>
          <w:tcPr>
            <w:tcW w:w="4540" w:type="dxa"/>
            <w:vAlign w:val="bottom"/>
            <w:gridSpan w:val="6"/>
          </w:tcPr>
          <w:p>
            <w:pPr>
              <w:ind w:left="200"/>
              <w:spacing w:after="0"/>
              <w:rPr>
                <w:sz w:val="20"/>
                <w:szCs w:val="20"/>
                <w:color w:val="auto"/>
              </w:rPr>
            </w:pPr>
            <w:r>
              <w:rPr>
                <w:rFonts w:ascii="Arial" w:cs="Arial" w:eastAsia="Arial" w:hAnsi="Arial"/>
                <w:sz w:val="18"/>
                <w:szCs w:val="18"/>
                <w:color w:val="auto"/>
                <w:w w:val="94"/>
              </w:rPr>
              <w:t>million in fees to marketing vendors, and an increase of $</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million in</w:t>
            </w:r>
          </w:p>
        </w:tc>
        <w:tc>
          <w:tcPr>
            <w:tcW w:w="0" w:type="dxa"/>
            <w:vAlign w:val="bottom"/>
          </w:tcPr>
          <w:p>
            <w:pPr>
              <w:spacing w:after="0"/>
              <w:rPr>
                <w:sz w:val="1"/>
                <w:szCs w:val="1"/>
                <w:color w:val="auto"/>
              </w:rPr>
            </w:pPr>
          </w:p>
        </w:tc>
      </w:tr>
      <w:tr>
        <w:trPr>
          <w:trHeight w:val="230"/>
        </w:trPr>
        <w:tc>
          <w:tcPr>
            <w:tcW w:w="9220" w:type="dxa"/>
            <w:vAlign w:val="bottom"/>
            <w:gridSpan w:val="10"/>
          </w:tcPr>
          <w:p>
            <w:pPr>
              <w:spacing w:after="0"/>
              <w:rPr>
                <w:sz w:val="20"/>
                <w:szCs w:val="20"/>
                <w:color w:val="auto"/>
              </w:rPr>
            </w:pPr>
            <w:r>
              <w:rPr>
                <w:rFonts w:ascii="Arial" w:cs="Arial" w:eastAsia="Arial" w:hAnsi="Arial"/>
                <w:sz w:val="18"/>
                <w:szCs w:val="18"/>
                <w:color w:val="auto"/>
                <w:w w:val="91"/>
              </w:rPr>
              <w:t>allocated overhead costs as a result of increased overall costs to support the growth of our business and related infrastructure.</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20" w:type="dxa"/>
            <w:vAlign w:val="bottom"/>
            <w:gridSpan w:val="2"/>
          </w:tcPr>
          <w:p>
            <w:pPr>
              <w:ind w:left="460"/>
              <w:spacing w:after="0"/>
              <w:rPr>
                <w:sz w:val="20"/>
                <w:szCs w:val="20"/>
                <w:color w:val="auto"/>
              </w:rPr>
            </w:pPr>
            <w:r>
              <w:rPr>
                <w:rFonts w:ascii="Arial" w:cs="Arial" w:eastAsia="Arial" w:hAnsi="Arial"/>
                <w:sz w:val="18"/>
                <w:szCs w:val="18"/>
                <w:i w:val="1"/>
                <w:iCs w:val="1"/>
                <w:color w:val="auto"/>
              </w:rPr>
              <w:t>General and Administrative</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160" w:type="dxa"/>
            <w:vAlign w:val="bottom"/>
            <w:gridSpan w:val="4"/>
          </w:tcPr>
          <w:p>
            <w:pPr>
              <w:ind w:left="460"/>
              <w:spacing w:after="0"/>
              <w:rPr>
                <w:sz w:val="20"/>
                <w:szCs w:val="20"/>
                <w:color w:val="auto"/>
              </w:rPr>
            </w:pPr>
            <w:r>
              <w:rPr>
                <w:rFonts w:ascii="Arial" w:cs="Arial" w:eastAsia="Arial" w:hAnsi="Arial"/>
                <w:sz w:val="18"/>
                <w:szCs w:val="18"/>
                <w:color w:val="auto"/>
                <w:w w:val="93"/>
              </w:rPr>
              <w:t>General and administrative expenses increased $</w:t>
            </w:r>
          </w:p>
        </w:tc>
        <w:tc>
          <w:tcPr>
            <w:tcW w:w="1080" w:type="dxa"/>
            <w:vAlign w:val="bottom"/>
          </w:tcPr>
          <w:p>
            <w:pPr>
              <w:ind w:left="200"/>
              <w:spacing w:after="0"/>
              <w:rPr>
                <w:sz w:val="20"/>
                <w:szCs w:val="20"/>
                <w:color w:val="auto"/>
              </w:rPr>
            </w:pPr>
            <w:r>
              <w:rPr>
                <w:rFonts w:ascii="Arial" w:cs="Arial" w:eastAsia="Arial" w:hAnsi="Arial"/>
                <w:sz w:val="18"/>
                <w:szCs w:val="18"/>
                <w:color w:val="auto"/>
              </w:rPr>
              <w:t>million, or</w:t>
            </w:r>
          </w:p>
        </w:tc>
        <w:tc>
          <w:tcPr>
            <w:tcW w:w="6000" w:type="dxa"/>
            <w:vAlign w:val="bottom"/>
            <w:gridSpan w:val="10"/>
          </w:tcPr>
          <w:p>
            <w:pPr>
              <w:jc w:val="right"/>
              <w:ind w:right="80"/>
              <w:spacing w:after="0"/>
              <w:rPr>
                <w:sz w:val="20"/>
                <w:szCs w:val="20"/>
                <w:color w:val="auto"/>
              </w:rPr>
            </w:pPr>
            <w:r>
              <w:rPr>
                <w:rFonts w:ascii="Arial" w:cs="Arial" w:eastAsia="Arial" w:hAnsi="Arial"/>
                <w:sz w:val="18"/>
                <w:szCs w:val="18"/>
                <w:color w:val="auto"/>
                <w:w w:val="92"/>
              </w:rPr>
              <w:t>%, for fiscal 2020 compared to fiscal 2019. The increase was primarily due to an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increase of $</w:t>
            </w:r>
          </w:p>
        </w:tc>
        <w:tc>
          <w:tcPr>
            <w:tcW w:w="8680" w:type="dxa"/>
            <w:vAlign w:val="bottom"/>
            <w:gridSpan w:val="10"/>
          </w:tcPr>
          <w:p>
            <w:pPr>
              <w:ind w:left="220"/>
              <w:spacing w:after="0"/>
              <w:rPr>
                <w:sz w:val="20"/>
                <w:szCs w:val="20"/>
                <w:color w:val="auto"/>
              </w:rPr>
            </w:pPr>
            <w:r>
              <w:rPr>
                <w:rFonts w:ascii="Arial" w:cs="Arial" w:eastAsia="Arial" w:hAnsi="Arial"/>
                <w:sz w:val="18"/>
                <w:szCs w:val="18"/>
                <w:color w:val="auto"/>
                <w:w w:val="92"/>
              </w:rPr>
              <w:t>million in personnel-related expenses driven by higher headcount to support our continued growth, an increase of $</w:t>
            </w:r>
          </w:p>
        </w:tc>
        <w:tc>
          <w:tcPr>
            <w:tcW w:w="1440" w:type="dxa"/>
            <w:vAlign w:val="bottom"/>
            <w:gridSpan w:val="4"/>
          </w:tcPr>
          <w:p>
            <w:pPr>
              <w:ind w:left="240"/>
              <w:spacing w:after="0"/>
              <w:rPr>
                <w:sz w:val="20"/>
                <w:szCs w:val="20"/>
                <w:color w:val="auto"/>
              </w:rPr>
            </w:pPr>
            <w:r>
              <w:rPr>
                <w:rFonts w:ascii="Arial" w:cs="Arial" w:eastAsia="Arial" w:hAnsi="Arial"/>
                <w:sz w:val="18"/>
                <w:szCs w:val="18"/>
                <w:color w:val="auto"/>
              </w:rPr>
              <w:t>million in</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w w:val="94"/>
              </w:rPr>
              <w:t>computer equipment, and an increase of $</w:t>
            </w:r>
          </w:p>
        </w:tc>
        <w:tc>
          <w:tcPr>
            <w:tcW w:w="4500" w:type="dxa"/>
            <w:vAlign w:val="bottom"/>
            <w:gridSpan w:val="6"/>
          </w:tcPr>
          <w:p>
            <w:pPr>
              <w:ind w:left="200"/>
              <w:spacing w:after="0"/>
              <w:rPr>
                <w:sz w:val="20"/>
                <w:szCs w:val="20"/>
                <w:color w:val="auto"/>
              </w:rPr>
            </w:pPr>
            <w:r>
              <w:rPr>
                <w:rFonts w:ascii="Arial" w:cs="Arial" w:eastAsia="Arial" w:hAnsi="Arial"/>
                <w:sz w:val="18"/>
                <w:szCs w:val="18"/>
                <w:color w:val="auto"/>
              </w:rPr>
              <w:t>million in fees for professional services.</w:t>
            </w: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220" w:type="dxa"/>
            <w:vAlign w:val="bottom"/>
            <w:gridSpan w:val="2"/>
          </w:tcPr>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6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3"/>
              </w:rPr>
              <w:t>Year Ended January 31,</w:t>
            </w:r>
          </w:p>
        </w:tc>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60" w:type="dxa"/>
            <w:vAlign w:val="bottom"/>
            <w:tcBorders>
              <w:top w:val="single" w:sz="8" w:color="auto"/>
            </w:tcBorders>
          </w:tcPr>
          <w:p>
            <w:pPr>
              <w:jc w:val="right"/>
              <w:ind w:right="888"/>
              <w:spacing w:after="0" w:line="142" w:lineRule="exact"/>
              <w:rPr>
                <w:sz w:val="20"/>
                <w:szCs w:val="20"/>
                <w:color w:val="auto"/>
              </w:rPr>
            </w:pPr>
            <w:r>
              <w:rPr>
                <w:rFonts w:ascii="Arial" w:cs="Arial" w:eastAsia="Arial" w:hAnsi="Arial"/>
                <w:sz w:val="14"/>
                <w:szCs w:val="14"/>
                <w:b w:val="1"/>
                <w:bCs w:val="1"/>
                <w:color w:val="auto"/>
              </w:rPr>
              <w:t>2019</w:t>
            </w:r>
          </w:p>
        </w:tc>
        <w:tc>
          <w:tcPr>
            <w:tcW w:w="7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7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   1,113</w:t>
            </w: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449"/>
        <w:spacing w:after="0" w:line="277" w:lineRule="auto"/>
        <w:rPr>
          <w:sz w:val="20"/>
          <w:szCs w:val="20"/>
          <w:color w:val="auto"/>
        </w:rPr>
      </w:pPr>
      <w:r>
        <w:rPr>
          <w:rFonts w:ascii="Arial" w:cs="Arial" w:eastAsia="Arial" w:hAnsi="Arial"/>
          <w:sz w:val="18"/>
          <w:szCs w:val="18"/>
          <w:color w:val="auto"/>
        </w:rPr>
        <w:t>Other income (expense), net increased $ million for fiscal 2020 compared to fiscal 2019. The increase was primarily driven by increased income from our investments as a result of our higher investment balances.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Since inception, we have financed operations primarily through the net proceeds we have received from the sales of our preferred stock and common stock, the issuance of the 2020 Note, and cash generated from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9800" w:val="left"/>
        </w:tabs>
        <w:rPr>
          <w:sz w:val="20"/>
          <w:szCs w:val="20"/>
          <w:color w:val="auto"/>
        </w:rPr>
      </w:pPr>
      <w:r>
        <w:rPr>
          <w:rFonts w:ascii="Arial" w:cs="Arial" w:eastAsia="Arial" w:hAnsi="Arial"/>
          <w:sz w:val="18"/>
          <w:szCs w:val="18"/>
          <w:color w:val="auto"/>
        </w:rPr>
        <w:t>the sale of subscriptions to our platform. We have generated losses from our operations as reflected in our accumulated deficit of $</w:t>
      </w:r>
      <w:r>
        <w:rPr>
          <w:sz w:val="20"/>
          <w:szCs w:val="20"/>
          <w:color w:val="auto"/>
        </w:rPr>
        <w:tab/>
      </w:r>
      <w:r>
        <w:rPr>
          <w:rFonts w:ascii="Arial" w:cs="Arial" w:eastAsia="Arial" w:hAnsi="Arial"/>
          <w:sz w:val="17"/>
          <w:szCs w:val="17"/>
          <w:color w:val="auto"/>
        </w:rPr>
        <w:t>million as of</w:t>
      </w:r>
    </w:p>
    <w:p>
      <w:pPr>
        <w:spacing w:after="0" w:line="2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January 31, 2020 and negative cash flows from operating activities. Our future capital requirements will depend on many factors, including revenue growth and costs incurred to support customer usage and growth in our customer base, increased research and development expenses to support the growth of our business and related infrastructure, and increased general and administrative expenses to support being a publicly traded company.</w:t>
      </w:r>
    </w:p>
    <w:p>
      <w:pPr>
        <w:sectPr>
          <w:pgSz w:w="11900" w:h="16838" w:orient="portrait"/>
          <w:cols w:equalWidth="0" w:num="1">
            <w:col w:w="11240"/>
          </w:cols>
          <w:pgMar w:left="320" w:top="459" w:right="339" w:bottom="1440" w:gutter="0" w:footer="0" w:header="0"/>
        </w:sect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of $</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hanging="240"/>
        <w:spacing w:after="0" w:line="277" w:lineRule="auto"/>
        <w:rPr>
          <w:sz w:val="20"/>
          <w:szCs w:val="20"/>
          <w:color w:val="auto"/>
        </w:rPr>
      </w:pPr>
      <w:r>
        <w:rPr>
          <w:rFonts w:ascii="Arial" w:cs="Arial" w:eastAsia="Arial" w:hAnsi="Arial"/>
          <w:sz w:val="18"/>
          <w:szCs w:val="18"/>
          <w:color w:val="auto"/>
        </w:rPr>
        <w:t>As of January 31, 2020, our principal sources of liquidity were cash, cash equivalents, and marketable securities of $ million.</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million and restricted cash</w:t>
      </w:r>
    </w:p>
    <w:p>
      <w:pPr>
        <w:spacing w:after="0" w:line="463" w:lineRule="exact"/>
        <w:rPr>
          <w:sz w:val="20"/>
          <w:szCs w:val="20"/>
          <w:color w:val="auto"/>
        </w:rPr>
      </w:pPr>
    </w:p>
    <w:p>
      <w:pPr>
        <w:sectPr>
          <w:pgSz w:w="11900" w:h="16838" w:orient="portrait"/>
          <w:cols w:equalWidth="0" w:num="3">
            <w:col w:w="300" w:space="400"/>
            <w:col w:w="8160" w:space="400"/>
            <w:col w:w="1980"/>
          </w:cols>
          <w:pgMar w:left="320" w:top="459" w:right="339" w:bottom="1440" w:gutter="0" w:footer="0" w:header="0"/>
          <w:type w:val="continuous"/>
        </w:sectPr>
      </w:pPr>
    </w:p>
    <w:p>
      <w:pPr>
        <w:ind w:right="220" w:firstLine="449"/>
        <w:spacing w:after="0" w:line="291" w:lineRule="auto"/>
        <w:rPr>
          <w:sz w:val="20"/>
          <w:szCs w:val="20"/>
          <w:color w:val="auto"/>
        </w:rPr>
      </w:pPr>
      <w:r>
        <w:rPr>
          <w:rFonts w:ascii="Arial" w:cs="Arial" w:eastAsia="Arial" w:hAnsi="Arial"/>
          <w:sz w:val="16"/>
          <w:szCs w:val="16"/>
          <w:color w:val="auto"/>
        </w:rPr>
        <w:t>A substantial source of our cash provided by operating activities is our deferred revenue, which is included on our consolidated balance sheets as a liability. Deferred revenue consists of the unearned portion of billed fees for our subscriptions, which is recorded as revenues over the term of the</w:t>
      </w:r>
    </w:p>
    <w:p>
      <w:pPr>
        <w:ind w:right="220"/>
        <w:spacing w:after="0" w:line="290" w:lineRule="auto"/>
        <w:rPr>
          <w:sz w:val="20"/>
          <w:szCs w:val="20"/>
          <w:color w:val="auto"/>
        </w:rPr>
      </w:pPr>
      <w:r>
        <w:rPr>
          <w:rFonts w:ascii="Arial" w:cs="Arial" w:eastAsia="Arial" w:hAnsi="Arial"/>
          <w:sz w:val="17"/>
          <w:szCs w:val="17"/>
          <w:color w:val="auto"/>
        </w:rPr>
        <w:t>subscription agreement. As of January 31, 2019 and January 31, 2020, we had $31.9 million and $ million of deferred revenue recorded as a current liability, respectively. This deferred revenue will be recognized as revenues when all of the revenue recognition criteria are met.</w:t>
      </w:r>
    </w:p>
    <w:p>
      <w:pPr>
        <w:spacing w:after="0" w:line="161"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We assess our liquidity primarily through our cash on hand as well as the projected timing of billings under contract with our paying customers and related collection cycles. We believe our current cash, cash equivalents, and marketable securities will be sufficient to meet our working capital and capital expenditure requirements for at least the next 12 months.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20" w:type="dxa"/>
            <w:vAlign w:val="bottom"/>
            <w:gridSpan w:val="3"/>
          </w:tcPr>
          <w:p>
            <w:pPr>
              <w:ind w:left="34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6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0" w:type="dxa"/>
            <w:vAlign w:val="bottom"/>
            <w:tcBorders>
              <w:top w:val="single" w:sz="8" w:color="auto"/>
              <w:bottom w:val="single" w:sz="8" w:color="auto"/>
            </w:tcBorders>
          </w:tcPr>
          <w:p>
            <w:pPr>
              <w:jc w:val="right"/>
              <w:ind w:right="1028"/>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42"/>
        </w:trPr>
        <w:tc>
          <w:tcPr>
            <w:tcW w:w="6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0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430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 (30,180)</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4300" w:type="dxa"/>
            <w:vAlign w:val="bottom"/>
            <w:gridSpan w:val="2"/>
          </w:tcPr>
          <w:p>
            <w:pPr>
              <w:jc w:val="right"/>
              <w:ind w:right="748"/>
              <w:spacing w:after="0"/>
              <w:rPr>
                <w:sz w:val="20"/>
                <w:szCs w:val="20"/>
                <w:color w:val="auto"/>
              </w:rPr>
            </w:pPr>
            <w:r>
              <w:rPr>
                <w:rFonts w:ascii="Arial" w:cs="Arial" w:eastAsia="Arial" w:hAnsi="Arial"/>
                <w:sz w:val="18"/>
                <w:szCs w:val="18"/>
                <w:color w:val="auto"/>
              </w:rPr>
              <w:t>(44,662)</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30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55,293</w:t>
            </w: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right="120" w:firstLine="449"/>
        <w:spacing w:after="0" w:line="259" w:lineRule="auto"/>
        <w:rPr>
          <w:sz w:val="20"/>
          <w:szCs w:val="20"/>
          <w:color w:val="auto"/>
        </w:rPr>
      </w:pPr>
      <w:r>
        <w:rPr>
          <w:rFonts w:ascii="Arial" w:cs="Arial" w:eastAsia="Arial" w:hAnsi="Arial"/>
          <w:sz w:val="18"/>
          <w:szCs w:val="18"/>
          <w:color w:val="auto"/>
        </w:rPr>
        <w:t>Our largest source of operating cash is cash collection from sales of subscriptions to our paying customers. Our primary uses of cash from operating activities are for personnel-related expenses, marketing expenses, and third-party hosting-related and software expenses. In the last several years, we have generated negative cash flows from operating activities and have supplemented working capital requirements through net proceeds from the sale of equity and equity-linked securities.</w:t>
      </w:r>
    </w:p>
    <w:p>
      <w:pPr>
        <w:spacing w:after="0" w:line="187"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 xml:space="preserve">Net cash used in operating activities of $30.2 million for fiscal 2019 reflects our net loss of $50.9 million, offset by non-cash items such as depreciation and amortization of $4.2 million, stock-based compensation expense of $8.5 million, and net cash inflows of $8.3 million from changes in our operating assets and liabilities. The net cash inflows from changes in operating assets and liabilities primarily consisted of a $15.1 million increase in deferred revenue, resulting from increased billings for subscriptions, and a $4.0 million increase in accrued expenses and other current liabilities, resulting primarily from increases in accrued payroll related to commissions and bonuses. These amounts were partially offset by a $4.5 million increase in prepaid expenses and other current assets related to prepayments made in advance for future services, a $3.7 million increase in other assets related to deferred contract acquisition costs resulting from the adoption of Accounting Standards Codification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or ASC 606, and a $3.4 million increase in accounts receivable due to higher customer billings.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459" w:right="3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20" w:firstLine="449"/>
        <w:spacing w:after="0" w:line="263" w:lineRule="auto"/>
        <w:rPr>
          <w:sz w:val="20"/>
          <w:szCs w:val="20"/>
          <w:color w:val="auto"/>
        </w:rPr>
      </w:pPr>
      <w:r>
        <w:rPr>
          <w:rFonts w:ascii="Arial" w:cs="Arial" w:eastAsia="Arial" w:hAnsi="Arial"/>
          <w:sz w:val="18"/>
          <w:szCs w:val="18"/>
          <w:color w:val="auto"/>
        </w:rPr>
        <w:t>Net cash used in investing activities of $44.7 million for fiscal 2019 consisted of $41.3 million in net purchases and maturities of marketable securities, $2.9 million in purchases of property and equipment from an increase in leasehold improvements and furniture and fixtures associated with supporting higher headcount, and $0.6 million in capitalized internal-use software costs.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Net cash provided by financing activities of $55.3 million for fiscal 2019 consisted of $51.0 million in net proceeds from the sale and issuance of Series E preferred stock and $4.3 million in proceeds from the exercise of stock options.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contractual commitment amounts in the table below are associated with agreements that are enforceable and legally binding. Purchase orders issued in the ordinary course of business are not included in the table below, as our purchase orders represent authorizations to purchase rather than binding agreements.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at January 31,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0"/>
                <w:szCs w:val="10"/>
                <w:color w:val="auto"/>
              </w:rPr>
            </w:pPr>
          </w:p>
        </w:tc>
        <w:tc>
          <w:tcPr>
            <w:tcW w:w="7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500" w:type="dxa"/>
            <w:vAlign w:val="bottom"/>
          </w:tcPr>
          <w:p>
            <w:pPr>
              <w:spacing w:after="0"/>
              <w:rPr>
                <w:sz w:val="10"/>
                <w:szCs w:val="10"/>
                <w:color w:val="auto"/>
              </w:rPr>
            </w:pPr>
          </w:p>
        </w:tc>
        <w:tc>
          <w:tcPr>
            <w:tcW w:w="11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1-3 Years</w:t>
            </w:r>
          </w:p>
        </w:tc>
        <w:tc>
          <w:tcPr>
            <w:tcW w:w="40" w:type="dxa"/>
            <w:vAlign w:val="bottom"/>
          </w:tcPr>
          <w:p>
            <w:pPr>
              <w:spacing w:after="0"/>
              <w:rPr>
                <w:sz w:val="10"/>
                <w:szCs w:val="10"/>
                <w:color w:val="auto"/>
              </w:rPr>
            </w:pPr>
          </w:p>
        </w:tc>
        <w:tc>
          <w:tcPr>
            <w:tcW w:w="8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6"/>
              </w:rPr>
              <w:t>3-5 Years</w:t>
            </w:r>
          </w:p>
        </w:tc>
        <w:tc>
          <w:tcPr>
            <w:tcW w:w="280" w:type="dxa"/>
            <w:vAlign w:val="bottom"/>
          </w:tcPr>
          <w:p>
            <w:pPr>
              <w:spacing w:after="0"/>
              <w:rPr>
                <w:sz w:val="10"/>
                <w:szCs w:val="10"/>
                <w:color w:val="auto"/>
              </w:rPr>
            </w:pPr>
          </w:p>
        </w:tc>
        <w:tc>
          <w:tcPr>
            <w:tcW w:w="7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 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5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15"/>
                <w:szCs w:val="15"/>
                <w:color w:val="auto"/>
              </w:rPr>
              <w:t>(1)</w:t>
            </w:r>
          </w:p>
        </w:tc>
        <w:tc>
          <w:tcPr>
            <w:tcW w:w="2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$29,802</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8,708</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$19,346</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6"/>
              </w:rPr>
              <w:t>$ 1,748</w:t>
            </w:r>
          </w:p>
        </w:tc>
        <w:tc>
          <w:tcPr>
            <w:tcW w:w="44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15"/>
                <w:szCs w:val="15"/>
                <w:color w:val="auto"/>
              </w:rPr>
              <w:t>(2)</w:t>
            </w:r>
          </w:p>
        </w:tc>
        <w:tc>
          <w:tcPr>
            <w:tcW w:w="16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20,000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9,000</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11,000</w:t>
            </w:r>
          </w:p>
        </w:tc>
        <w:tc>
          <w:tcPr>
            <w:tcW w:w="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contractual obligations</w:t>
            </w:r>
          </w:p>
        </w:tc>
        <w:tc>
          <w:tcPr>
            <w:tcW w:w="2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49,802</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17,708</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30,346</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6"/>
              </w:rPr>
              <w:t>$ 1,748</w:t>
            </w:r>
          </w:p>
        </w:tc>
        <w:tc>
          <w:tcPr>
            <w:tcW w:w="44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3"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Consists of future non-cancelable minimum rental payments under operating leases for our offices.</w:t>
      </w:r>
    </w:p>
    <w:p>
      <w:pPr>
        <w:jc w:val="both"/>
        <w:ind w:left="460" w:right="540" w:hanging="452"/>
        <w:spacing w:after="0" w:line="232" w:lineRule="auto"/>
        <w:tabs>
          <w:tab w:leader="none" w:pos="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 December 2018, we entered into a 27-month contract with Amazon Web Services for hosting-related services. Pursuant to the terms of the contract, we are required to spend a minimum of $9.0 million within the first year and an additional minimum of $11.0 million within the second year. As of January 31, 2019, we had $18.5 million remaining on the commitment.</w:t>
      </w:r>
    </w:p>
    <w:p>
      <w:pPr>
        <w:spacing w:after="0" w:line="187"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In February 2019, we entered into a new lease agreement for approximately 265,890 square feet of office space in San Francisco, California, to serve as our new corporate headquarters. As part of the agreement, we are required to issue a $17.0 million letter of credit upon access to the office space in April 2020. We expect to start making recurring rental payments under the lease in the third quarter of fiscal 2021. The lease expiration date is</w:t>
      </w:r>
    </w:p>
    <w:p>
      <w:pPr>
        <w:spacing w:after="0" w:line="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October 2033. Our Chief Executive Officer acts as a personal guarantor to the lease for the full rent payments over the 148-month term should we default on our obligations. Future minimum payments and capital commitments for the lease, including the tenant improvement allowances of $26.6 million, total $466.0 million. These amounts are not included in the table above.</w:t>
      </w:r>
    </w:p>
    <w:p>
      <w:pPr>
        <w:spacing w:after="0" w:line="190"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Additionally, subsequent to January 31, 2019, we entered into several other lease agreements with commitments totaling approximately $13.0 million through fiscal 2024.</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260" w:firstLine="449"/>
        <w:spacing w:after="0" w:line="287" w:lineRule="auto"/>
        <w:rPr>
          <w:sz w:val="20"/>
          <w:szCs w:val="20"/>
          <w:color w:val="auto"/>
        </w:rPr>
      </w:pPr>
      <w:r>
        <w:rPr>
          <w:rFonts w:ascii="Arial" w:cs="Arial" w:eastAsia="Arial" w:hAnsi="Arial"/>
          <w:sz w:val="16"/>
          <w:szCs w:val="16"/>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in connection with the</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listing of our Class A common stock on the ,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financial position, results of operations, or cash flows.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As of January 31, 2020,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our business.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cash, cash equivalents, and marketable securities primarily consist of cash on hand and highly liquid investments in money market funds and</w:t>
      </w:r>
    </w:p>
    <w:p>
      <w:pPr>
        <w:spacing w:after="0" w:line="4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U.S. government securities. As of January 31, 2020, we had cash and cash equivalents of $ million and marketable securities of $ million. We do not enter into investments for trading or speculative purposes. Our investments are exposed to market risk due to fluctuations in interest rates, which may affect our interest income and the fair market value of our investments. However, due to the short-term nature of our investment portfolio,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Australian Dollar, Japanese Yen, and Icelandic Krona. Additionally, fluctuations in foreign currency exchange rates may cause us to recognize transaction gains and losses in our consolidated statement of operations.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revenues,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7"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240" w:firstLine="449"/>
        <w:spacing w:after="0" w:line="263" w:lineRule="auto"/>
        <w:rPr>
          <w:sz w:val="20"/>
          <w:szCs w:val="20"/>
          <w:color w:val="auto"/>
        </w:rPr>
      </w:pPr>
      <w:r>
        <w:rPr>
          <w:rFonts w:ascii="Arial" w:cs="Arial" w:eastAsia="Arial" w:hAnsi="Arial"/>
          <w:sz w:val="18"/>
          <w:szCs w:val="18"/>
          <w:color w:val="auto"/>
        </w:rPr>
        <w:t>We derive our revenues from monthly and annual subscription fees earned from paying customers accessing the platform. Our policy is to exclude sales and other indirect taxes when measuring the transaction price of our subscription agreements. We account for revenue contracts with customers by applying the requirements of ASC 606, which includes the following steps:</w:t>
      </w:r>
    </w:p>
    <w:p>
      <w:pPr>
        <w:spacing w:after="0" w:line="89" w:lineRule="exact"/>
        <w:rPr>
          <w:sz w:val="20"/>
          <w:szCs w:val="20"/>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Identification of the contract, or contracts, with the customer;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Recognition of the revenues when, or as, we satisfy a performance obligation.</w:t>
      </w:r>
    </w:p>
    <w:p>
      <w:pPr>
        <w:spacing w:after="0" w:line="225" w:lineRule="exact"/>
        <w:rPr>
          <w:sz w:val="20"/>
          <w:szCs w:val="20"/>
          <w:color w:val="auto"/>
        </w:rPr>
      </w:pPr>
    </w:p>
    <w:p>
      <w:pPr>
        <w:ind w:right="120" w:firstLine="449"/>
        <w:spacing w:after="0" w:line="279" w:lineRule="auto"/>
        <w:rPr>
          <w:sz w:val="20"/>
          <w:szCs w:val="20"/>
          <w:color w:val="auto"/>
        </w:rPr>
      </w:pPr>
      <w:r>
        <w:rPr>
          <w:rFonts w:ascii="Arial" w:cs="Arial" w:eastAsia="Arial" w:hAnsi="Arial"/>
          <w:sz w:val="17"/>
          <w:szCs w:val="17"/>
          <w:color w:val="auto"/>
        </w:rPr>
        <w:t>Our subscription agreements generally have monthly or annual contractual terms. We recognize revenues ratably over the related contractual term beginning on the date that the platform is made available to a customer, as the customer receives and consumes the benefits of the platform throughout the contractual period. Access to the platform represents a series of distinct services that comprise a single performance obligation that is satisfied over time. Our contracts are generally non-cancelable and do not provide for refunds to paying customers in the event of cancellations.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revenues related to performance obligations that are unsatisfied or partially unsatisfied at the end of the reporting period were</w:t>
      </w:r>
    </w:p>
    <w:p>
      <w:pPr>
        <w:spacing w:after="0" w:line="2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$31.9 million, presented as deferred revenue in the consolidated balance sheet as of January 31, 2019. We expect the unsatisfied performance obligations to be satisfied over the next 12 months.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Contract Acquisition Costs</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Deferred contract acquisition costs represent gross deferred contract acquisition costs less accumulated amortization. Sales commissions earned by our sales force and bonuses earned by executives, as well as related payroll taxes, are considered to be incremental and recoverable costs of obtaining a contract with a customer. As a result, these amounts have been capitalized as deferred contract acquisition costs within prepaid and other current assets and other assets on the consolidated balance sheets.</w:t>
      </w:r>
    </w:p>
    <w:p>
      <w:pPr>
        <w:spacing w:after="0" w:line="187"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We amortize deferred contract acquisition costs over a period of benefit of three years. We estimated the period of benefit by considering factors such as historical customer attrition rates, the useful life of our technology, and the impact of competition in the software-as-a-service industry. As a result, these amounts have been capitalized as deferred contract acquisition costs.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We record stock-based compensation expense for all stock-based awards made to employees, non-employees, and directors based on estimated fair values recognized over the requisite service period. We estimate the fair value of options granted to employees for purposes of calculating stock-based compensation expense on the grant date using the Black-Scholes pricing model. The Black-Scholes pricing model requires us to make assumptions and judgments about the inputs used in the calculation, including the expected term (weighted-average period of time that the options granted are expected to be outstanding), the volatility of our common stock, risk-free interest rate, and expected dividend yield. The expected term represents the period that we expect our stock-based awards to be outstanding. We determine the expected term assumptions based on the vesting terms, exercise terms, and contractual lives of the options. The volatility is based on an average of the historical volatilities of the common stock of comparable public companies with characteristics similar to ours. The risk-free rate is based on the U.S. Treasury yield curve in effect at the time of grant for periods corresponding with the expected life of the option. Our expected dividend yield input is zero as we have not historically paid, nor do we expect in the future to pay, cash dividends.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We recognize stock-based compensation expense over the requisite service period, which is generally the vesting period of the respective award. We use the straight-line method for expense attribution. We account for forfeitures as they occur.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assumptions were used for each respective period to calculate our stock-based compensation: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60" w:type="dxa"/>
            <w:vAlign w:val="bottom"/>
          </w:tcPr>
          <w:p>
            <w:pPr>
              <w:spacing w:after="0"/>
              <w:rPr>
                <w:sz w:val="14"/>
                <w:szCs w:val="14"/>
                <w:color w:val="auto"/>
              </w:rPr>
            </w:pPr>
          </w:p>
        </w:tc>
        <w:tc>
          <w:tcPr>
            <w:tcW w:w="2480" w:type="dxa"/>
            <w:vAlign w:val="bottom"/>
            <w:gridSpan w:val="4"/>
          </w:tcPr>
          <w:p>
            <w:pPr>
              <w:ind w:left="46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876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 - 3.1%</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Expected term</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8 years</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8760" w:type="dxa"/>
            <w:vAlign w:val="bottom"/>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41.6% - 46.6%</w:t>
            </w: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assumptions are based on the following for each of the years presented:</w:t>
      </w:r>
    </w:p>
    <w:p>
      <w:pPr>
        <w:spacing w:after="0" w:line="131" w:lineRule="exact"/>
        <w:rPr>
          <w:sz w:val="20"/>
          <w:szCs w:val="20"/>
          <w:color w:val="auto"/>
        </w:rPr>
      </w:pPr>
    </w:p>
    <w:p>
      <w:pPr>
        <w:ind w:left="1000" w:right="30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Because our common stock is not yet publicly traded, we must estimate the fair value of common stock; see</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Valuations” below.</w:t>
      </w:r>
    </w:p>
    <w:p>
      <w:pPr>
        <w:spacing w:after="0" w:line="75" w:lineRule="exact"/>
        <w:rPr>
          <w:rFonts w:ascii="Arial" w:cs="Arial" w:eastAsia="Arial" w:hAnsi="Arial"/>
          <w:sz w:val="18"/>
          <w:szCs w:val="18"/>
          <w:color w:val="auto"/>
        </w:rPr>
      </w:pPr>
    </w:p>
    <w:p>
      <w:pPr>
        <w:ind w:left="1000" w:right="20" w:hanging="547"/>
        <w:spacing w:after="0" w:line="311"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Expected volatility is a measure of the amount by which the stock price is expected to fluctuate. Since we do not have</w:t>
      </w:r>
      <w:r>
        <w:rPr>
          <w:rFonts w:ascii="Arial" w:cs="Arial" w:eastAsia="Arial" w:hAnsi="Arial"/>
          <w:sz w:val="16"/>
          <w:szCs w:val="16"/>
          <w:i w:val="1"/>
          <w:iCs w:val="1"/>
          <w:color w:val="auto"/>
        </w:rPr>
        <w:t xml:space="preserve"> </w:t>
      </w:r>
      <w:r>
        <w:rPr>
          <w:rFonts w:ascii="Arial" w:cs="Arial" w:eastAsia="Arial" w:hAnsi="Arial"/>
          <w:sz w:val="16"/>
          <w:szCs w:val="16"/>
          <w:color w:val="auto"/>
        </w:rPr>
        <w:t>sufficient trading history of our common stock, we estimate the expected volatility of our stock options at the grant date by taking the average historical volatility of a group of comparable publicly-traded companies over a period equal to the expected life of the options.</w:t>
      </w:r>
    </w:p>
    <w:p>
      <w:pPr>
        <w:spacing w:after="0" w:line="54" w:lineRule="exact"/>
        <w:rPr>
          <w:rFonts w:ascii="Arial" w:cs="Arial" w:eastAsia="Arial" w:hAnsi="Arial"/>
          <w:sz w:val="16"/>
          <w:szCs w:val="16"/>
          <w:color w:val="auto"/>
        </w:rPr>
      </w:pPr>
    </w:p>
    <w:p>
      <w:pPr>
        <w:ind w:left="1000" w:right="740" w:hanging="547"/>
        <w:spacing w:after="0" w:line="308" w:lineRule="auto"/>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Expected term represents the period that our stock-based awards are expected to be outstanding. The expected term</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are determined based on the vesting terms, exercise terms, and contractual lives of the options.</w:t>
      </w:r>
    </w:p>
    <w:p>
      <w:pPr>
        <w:spacing w:after="0" w:line="51" w:lineRule="exact"/>
        <w:rPr>
          <w:rFonts w:ascii="Arial" w:cs="Arial" w:eastAsia="Arial" w:hAnsi="Arial"/>
          <w:sz w:val="17"/>
          <w:szCs w:val="17"/>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Risk-free rate—</w:t>
      </w:r>
      <w:r>
        <w:rPr>
          <w:rFonts w:ascii="Arial" w:cs="Arial" w:eastAsia="Arial" w:hAnsi="Arial"/>
          <w:sz w:val="18"/>
          <w:szCs w:val="18"/>
          <w:color w:val="auto"/>
        </w:rPr>
        <w:t>We use the U.S. Treasury yield for our risk-free interest rate that corresponds with the expected term.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Dividend yield—</w:t>
      </w:r>
      <w:r>
        <w:rPr>
          <w:rFonts w:ascii="Arial" w:cs="Arial" w:eastAsia="Arial" w:hAnsi="Arial"/>
          <w:sz w:val="17"/>
          <w:szCs w:val="17"/>
          <w:color w:val="auto"/>
        </w:rPr>
        <w:t>We utilize a dividend yield of zero, as we do not currently issue dividends, nor do we expect to do so in the future.</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Common Stock Valuations</w:t>
      </w:r>
    </w:p>
    <w:p>
      <w:pPr>
        <w:spacing w:after="0" w:line="11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Given the absence of an active market for our common stock, our board of directors was required to estimate the fair value of our common stock at the time of each option grant based upon several factors, including its consideration of input from management and contemporaneous third-party valuations.</w:t>
      </w:r>
    </w:p>
    <w:p>
      <w:pPr>
        <w:spacing w:after="0" w:line="184"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 xml:space="preserve">The exercise price for all stock options granted was the estimated fair value of the underlying common stock, as estimated on the date of grant by our board of directors in accordance with the guidelines outlined in the </w:t>
      </w:r>
      <w:r>
        <w:rPr>
          <w:rFonts w:ascii="Arial" w:cs="Arial" w:eastAsia="Arial" w:hAnsi="Arial"/>
          <w:sz w:val="16"/>
          <w:szCs w:val="16"/>
          <w:i w:val="1"/>
          <w:iCs w:val="1"/>
          <w:color w:val="auto"/>
        </w:rPr>
        <w:t xml:space="preserve">American Institute of Certified Public Accountants, Valuation of Privately-Held-Company Equity Securities Issued as Compensation </w:t>
      </w:r>
      <w:r>
        <w:rPr>
          <w:rFonts w:ascii="Arial" w:cs="Arial" w:eastAsia="Arial" w:hAnsi="Arial"/>
          <w:sz w:val="16"/>
          <w:szCs w:val="16"/>
          <w:color w:val="auto"/>
        </w:rPr>
        <w:t>guide. Each fair value estimate was based on a variety of factors, which included the following:</w:t>
      </w:r>
    </w:p>
    <w:p>
      <w:pPr>
        <w:spacing w:after="0" w:line="54" w:lineRule="exact"/>
        <w:rPr>
          <w:sz w:val="20"/>
          <w:szCs w:val="20"/>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contemporaneous valuations performed by an unrelated third-party valuation firm;</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preferred stock relative to those of our common stock;</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current business conditions and outlook;</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hiring of key personnel and the experience of our management;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history and the timing of the introduction of new applications and capabilities;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30" w:lineRule="exact"/>
        <w:rPr>
          <w:rFonts w:ascii="Arial" w:cs="Arial" w:eastAsia="Arial" w:hAnsi="Arial"/>
          <w:sz w:val="18"/>
          <w:szCs w:val="18"/>
          <w:color w:val="auto"/>
        </w:rPr>
      </w:pPr>
    </w:p>
    <w:p>
      <w:pPr>
        <w:ind w:left="1000" w:right="38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a merger or acquisition of our business given prevailing market conditions;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market performance of comparable publicly-traded companies;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U.S. and global capital market conditions.</w:t>
      </w:r>
    </w:p>
    <w:p>
      <w:pPr>
        <w:spacing w:after="0" w:line="225"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In valuing our common stock, our board of directors determined the equity value of our business using valuation methods they deemed appropriate under the circumstances applicable at the valuation date.</w:t>
      </w:r>
    </w:p>
    <w:p>
      <w:pPr>
        <w:spacing w:after="0" w:line="170"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One method, the market approach, estimates value based on a comparison of our company to comparable public companies in a similar line of business. To determine our peer group of companies, we considered public enterprise cloud-based application providers and selected those that are similar to us in size, economic drivers, and operating characteristics. From the comparable companies, a representative market value multiple was determined, which was applied to our operating results to estimate the enterprise value of our company. We also used the option pricing model to backsolve the value of the security from our most recent round of financing, which implies a total equity value as well as a per share common stock value.</w:t>
      </w:r>
    </w:p>
    <w:p>
      <w:pPr>
        <w:spacing w:after="0" w:line="161"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Once the enterprise value was determined under the market approach, we used the option pricing model to allocate that value among the various classes of securities to arrive at the fair value of the common stock.</w:t>
      </w:r>
    </w:p>
    <w:p>
      <w:pPr>
        <w:spacing w:after="0" w:line="170"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willing and unrelated parties, and whether the transactions involved investors with access to our financial information.</w:t>
      </w:r>
    </w:p>
    <w:p>
      <w:pPr>
        <w:spacing w:after="0" w:line="187" w:lineRule="exact"/>
        <w:rPr>
          <w:sz w:val="20"/>
          <w:szCs w:val="20"/>
          <w:color w:val="auto"/>
        </w:rPr>
      </w:pPr>
    </w:p>
    <w:p>
      <w:pPr>
        <w:ind w:right="340" w:firstLine="449"/>
        <w:spacing w:after="0" w:line="263" w:lineRule="auto"/>
        <w:rPr>
          <w:sz w:val="20"/>
          <w:szCs w:val="20"/>
          <w:color w:val="auto"/>
        </w:rPr>
      </w:pPr>
      <w:r>
        <w:rPr>
          <w:rFonts w:ascii="Arial" w:cs="Arial" w:eastAsia="Arial" w:hAnsi="Arial"/>
          <w:sz w:val="18"/>
          <w:szCs w:val="18"/>
          <w:color w:val="auto"/>
        </w:rPr>
        <w:t>Upon the listing of our Class A common stock on the , our common stock will be publicly traded and will therefore be subject to potentially significant fluctuations in the market price. Increases and decreases in the market price of our Class A common stock will also increase and decrease the fair value of our stock-based awards granted in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Refer to Note 2 to our consolidated financial statements included elsewhere in this prospectus for more information regarding recently issued accounting pronouncements.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320" w:top="459" w:right="3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mission is to help humanity thrive by enabling the world’s teams to work together effortlessly.</w:t>
      </w:r>
    </w:p>
    <w:p>
      <w:pPr>
        <w:spacing w:after="0" w:line="225"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Asana is a work management platform that helps teams orchestrate work, from daily tasks to cross-functional strategic initiatives. Over 75,000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History</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We started Asana because our co-founders experienced firsthand the growing problem of work about work. While at Facebook, they saw the coordination challenges the company faced as it scaled. Instead of spending time on work that generated results, they were spending time in status meetings and long email threads trying to figure out who was responsible for what. They recognized the pain of work about work was universal to teams that need to coordinate their work effectively to achieve their objectives. Yet there were no products in the market that adequately addressed this pain. As a result of that frustration, they were inspired to create Asana to solve this problem for the world’s teams.</w:t>
      </w:r>
    </w:p>
    <w:p>
      <w:pPr>
        <w:spacing w:after="0" w:line="176" w:lineRule="exact"/>
        <w:rPr>
          <w:sz w:val="20"/>
          <w:szCs w:val="20"/>
          <w:color w:val="auto"/>
        </w:rPr>
      </w:pPr>
    </w:p>
    <w:p>
      <w:pPr>
        <w:ind w:right="340" w:firstLine="449"/>
        <w:spacing w:after="0" w:line="342" w:lineRule="auto"/>
        <w:rPr>
          <w:sz w:val="20"/>
          <w:szCs w:val="20"/>
          <w:color w:val="auto"/>
        </w:rPr>
      </w:pPr>
      <w:r>
        <w:rPr>
          <w:rFonts w:ascii="Arial" w:cs="Arial" w:eastAsia="Arial" w:hAnsi="Arial"/>
          <w:sz w:val="16"/>
          <w:szCs w:val="16"/>
          <w:color w:val="auto"/>
        </w:rPr>
        <w:t>Since our inception, millions of teams in virtually every country around the world have used Asana. With Asana, users experience higher productivity, which has led to rapid adoption across teams, departments, and organizations. As of January 31, 2020, we had over 1.2 million paid users.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Teams Spend Too Much Time on Work About Work</w:t>
      </w:r>
    </w:p>
    <w:p>
      <w:pPr>
        <w:spacing w:after="0" w:line="117"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Work continues to get harder to manage as organizations try to move faster to accomplish ambitious goals and respond to changing market demands. Today, 60% of knowledge workers’ time is spent on work about work. Moreover, coordinating work within and across teams is chaotic. Without a system of record, teams move slowly, miss deadlines, and fail to live up to their full potential. At work, people face an overwhelming volume of communications from email and messaging applications, many of which are asking for status updates. These messages often provide limited clarity around what steps need to be taken and by when, and limited accountability around who owns the action. As a result, requests go unanswered, and employees spend more time searching and responding to messages in an attempt to provide clarity and accountability to their teams. These emails and messages only give teams momentary clarity about specific deliverables or actions, and as such they do not provide a holistic, persistent, and referenceable plan of record that can be easily or quickly accessed.</w:t>
      </w:r>
    </w:p>
    <w:p>
      <w:pPr>
        <w:spacing w:after="0" w:line="192"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To minimize work about work, reduce chaos, and give individuals time back to focus on the work that matters, teams need a purpose-built solution for coordination. Despite the growth in collaboration technology such as content tools and messaging apps, there has been little innovation in work management—systems that help teams to plan, manage, and execute their work.</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Asana Helps Teams</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Asana is a system of record for work. This system collects and structures institutional knowledge about how past work was completed and provides a real-time plan and roadmap for current and future initiatives. Our platform is built on our proprietary, multi-dimensional data model, which we call the work graph. The work graph captures and associates:</w:t>
      </w:r>
    </w:p>
    <w:p>
      <w:pPr>
        <w:spacing w:after="0" w:line="89" w:lineRule="exact"/>
        <w:rPr>
          <w:sz w:val="20"/>
          <w:szCs w:val="20"/>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units of work—tasks, projects, milestones, and portfolios;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people responsible for executing those units of work;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processes in which work gets done—rules and templates;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information about that work—files, comments, status, and metadata;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relationships across and within this data.</w:t>
      </w:r>
    </w:p>
    <w:p>
      <w:pPr>
        <w:spacing w:after="0" w:line="225"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Our data model provides individuals, team leads, and executives with dynamic views into the work that is most relevant to them—across multiple people and projects—all based on the same underlying data in the work graph. Individuals can manage and prioritize their daily tasks and collaborate with team members on shared projects, gaining visibility into who is doing what and when each piece of work is due. Team leads can plan work and optimize team workload across multiple projects, and executives can track progress towards company objectives in real time.</w:t>
      </w:r>
    </w:p>
    <w:p>
      <w:pPr>
        <w:spacing w:after="0" w:line="17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external support. We allow users to work the way they want with the interface that is right for them, using tasks, lists, calendars, boards, timelines, and workload.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Examples of ways our customers use Asana include:</w:t>
      </w:r>
    </w:p>
    <w:p>
      <w:pPr>
        <w:spacing w:after="0" w:line="131" w:lineRule="exact"/>
        <w:rPr>
          <w:sz w:val="20"/>
          <w:szCs w:val="20"/>
          <w:color w:val="auto"/>
        </w:rPr>
      </w:pPr>
    </w:p>
    <w:p>
      <w:pPr>
        <w:ind w:left="1000" w:hanging="547"/>
        <w:spacing w:after="0"/>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top music production company relies on Asana to manage its creative production and digital campaigns in support of prominent artists.</w:t>
      </w:r>
    </w:p>
    <w:p>
      <w:pPr>
        <w:spacing w:after="0" w:line="153" w:lineRule="exact"/>
        <w:rPr>
          <w:rFonts w:ascii="Arial" w:cs="Arial" w:eastAsia="Arial" w:hAnsi="Arial"/>
          <w:sz w:val="16"/>
          <w:szCs w:val="16"/>
          <w:color w:val="auto"/>
        </w:rPr>
      </w:pPr>
    </w:p>
    <w:p>
      <w:pPr>
        <w:ind w:left="1000" w:right="100" w:hanging="547"/>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global manufacturer of heating and cooling systems uses Asana to manage its organization-wide digital transformation initiatives so it can respond quickly to customers’ changing needs.</w:t>
      </w:r>
    </w:p>
    <w:p>
      <w:pPr>
        <w:spacing w:after="0" w:line="75" w:lineRule="exact"/>
        <w:rPr>
          <w:rFonts w:ascii="Arial" w:cs="Arial" w:eastAsia="Arial" w:hAnsi="Arial"/>
          <w:sz w:val="18"/>
          <w:szCs w:val="18"/>
          <w:color w:val="auto"/>
        </w:rPr>
      </w:pPr>
    </w:p>
    <w:p>
      <w:pPr>
        <w:ind w:left="1000" w:right="320" w:hanging="547"/>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multinational software business manages its editorial calendars and production of its premier owned-media site in Asana, enabling it to publish more content each month and add seven additional languages.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G2, a software services review platform uses Asana to manage everything from strategic planning to global events and marketing campaigns.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marine conservation entity uses Asana to manage policy and fundraising work to create healthier seas.</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SiteMinder, a hotel booking platform uses Asana to manage its critical business operations work like company objectives and key focuses, strategic planning, global billings, and collections.</w:t>
      </w:r>
    </w:p>
    <w:p>
      <w:pPr>
        <w:spacing w:after="0" w:line="75" w:lineRule="exact"/>
        <w:rPr>
          <w:rFonts w:ascii="Arial" w:cs="Arial" w:eastAsia="Arial" w:hAnsi="Arial"/>
          <w:sz w:val="18"/>
          <w:szCs w:val="18"/>
          <w:color w:val="auto"/>
        </w:rPr>
      </w:pPr>
    </w:p>
    <w:p>
      <w:pPr>
        <w:ind w:left="1000" w:right="560" w:hanging="547"/>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charitable cancer foundation’s marketing team relies on Asana as its end-to-end solution for campaigns to increase awareness of the charity’s services and research.</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Model</w:t>
      </w:r>
    </w:p>
    <w:p>
      <w:pPr>
        <w:spacing w:after="0" w:line="117"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Our hybrid self-service and direct sales model allows us to efficiently reach teams everywhere and then rapidly expand the use of our platform within their organizations. A majority of our new customers initially adopt our platform through self-service and free trials. Once adopted, customers can expand through self-service or with the assistance of our direct sales team, which is focused on promoting new use cases of Asana. As customers realize the productivity benefits we provide, our platform often becomes critical to managing their work and achieving their objectives, which drives further adoption and expansion opportunities. This is evidenced by our dollar-based net retention rate, which generally increases with greater organizational spend. As of</w:t>
      </w:r>
    </w:p>
    <w:p>
      <w:pPr>
        <w:spacing w:after="0" w:line="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January 31, 2020, our dollar-based net retention rate within organizations spending $5,000 or more with us on an annualized basis was %, consisting of customers. Our dollar-based net retention rate within organizations spending $50,000 or more with us on an annualized basis was %, consisting customers. Our overall dollar-based net retention rate as of January 31, 2020 was %.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459"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Company Culture</w:t>
      </w:r>
    </w:p>
    <w:p>
      <w:pPr>
        <w:spacing w:after="0" w:line="117" w:lineRule="exact"/>
        <w:rPr>
          <w:sz w:val="20"/>
          <w:szCs w:val="20"/>
          <w:color w:val="auto"/>
        </w:rPr>
      </w:pPr>
    </w:p>
    <w:p>
      <w:pPr>
        <w:ind w:right="160" w:firstLine="449"/>
        <w:spacing w:after="0" w:line="301" w:lineRule="auto"/>
        <w:rPr>
          <w:sz w:val="20"/>
          <w:szCs w:val="20"/>
          <w:color w:val="auto"/>
        </w:rPr>
      </w:pPr>
      <w:r>
        <w:rPr>
          <w:rFonts w:ascii="Arial" w:cs="Arial" w:eastAsia="Arial" w:hAnsi="Arial"/>
          <w:sz w:val="16"/>
          <w:szCs w:val="16"/>
          <w:color w:val="auto"/>
        </w:rPr>
        <w:t>We believe that our company culture enables us to achieve our mission and is a core driver of our business success. We endeavor to make product, business, and people decisions that allow us to carry out our mission while staying true to our values. We are a mission-driven organization first and have designed our values, along with our programs and processes, to help us maximize the potential of every individual in our company. Our values and processes also give us credibility when we share best practices for teamwork in the market and allow us to build those practices into our product.</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Rapid Growth</w:t>
      </w:r>
    </w:p>
    <w:p>
      <w:pPr>
        <w:spacing w:after="0" w:line="11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We have experienced rapid growth in recent periods. Our revenues were $76.8 million and $ million for fiscal 2019 and fiscal 2020, respectively, representing growth of %. As of January 31, 2020, we had 701 employees, representing growth of 65% since January 31, 2019. We had a net loss of $50.9 million and $ million for fiscal 2019 and fiscal 2020,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Teams must be coordinated and move quickly to be successful</w:t>
      </w:r>
    </w:p>
    <w:p>
      <w:pPr>
        <w:spacing w:after="0" w:line="117"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Teams today must navigate work that is increasingly cross-functional, matrixed, and distributed, while also moving quickly to meet the objectives of their organizations. For example, a product launch typically requires coordination across multiple departments—product management, engineering, marketing, sales, and customer support. However, traditional hierarchical processes, where centralized managers make decisions and disseminate information down to team members, mean that weeks and months may go by before contributors have the clarity they need to execute on work. With product lifecycles now measured in months and weeks rather than years, organizations cannot afford to be slowed down by inefficient processes. Individuals and teams need to be empowered to design their own processes, manage their work and change course when needed, and make autonomous decisions aligned with organizational goals to ensure business agility in rapidly changing markets.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Communication overload hurts productivity</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Businesses have adopted a number of applications to improve communication. Starting with email in the 1990s, the communications category has expanded to include Skype, WeChat, WhatsApp, Microsoft Teams, and Slack, among others. While these applications help teams communicate, they were not designed to provide a system of record to track and coordinate units of work or set up processes to quickly execute that work. The average knowledge worker receives 121 emails per day—70% of which are opened within six seconds. Instead of becoming more productive, people have become prisoners to email and messaging applications, using their inboxes as makeshift to-do lists.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Teams spend more time coordinating work than actually doing work</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Productivity gains can occur when individuals and teams have the opportunity to focus uninterrupted and do the skilled work they were hired to do, such as creating a brand campaign, developing a new product, negotiating a sales agreement, onboarding customers, recruiting new employees, or writing code. However, employees spend less than half of their time during the day on the work that is critical to generating results. According to a survey conducted by McKinsey Global Institute of a broad set of knowledge workers:</w:t>
      </w:r>
    </w:p>
    <w:p>
      <w:pPr>
        <w:spacing w:after="0" w:line="92" w:lineRule="exact"/>
        <w:rPr>
          <w:sz w:val="20"/>
          <w:szCs w:val="20"/>
          <w:color w:val="auto"/>
        </w:rPr>
      </w:pPr>
    </w:p>
    <w:p>
      <w:pPr>
        <w:ind w:left="1000" w:hanging="54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28% of time is spent answering email;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19% of time is spent gathering information;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14% of time is spent on internal communication.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320" w:top="459" w:right="3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Teams need more effective tools to orchestrate work</w:t>
      </w:r>
    </w:p>
    <w:p>
      <w:pPr>
        <w:spacing w:after="0" w:line="11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The primary methods for managing work today—across any department, any sized team, and any project—consist of a combination of spreadsheets and email, in addition to handwritten notes, calls, and meetings. Over time, communication tools (like email and messaging) and content applications (such as file sharing and storage services) have been repurposed for coordinating work because they are familiar and accessible. However, these tools lack the purpose-built functionality required for teams to collaboratively plan, manage, and execute work. Spreadsheets require much more work about work to create, quickly become outdated, lack automation capabilities, and cannot provide multi-dimensional views of multiple projects or real-time insight into how work is getting done. Email cannot build workflows, assign tasks, or track progress across individuals or teams. Teams need better tools designed specifically to orchestrate work.</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Clarity drives employee engagement that improves business results</w:t>
      </w:r>
    </w:p>
    <w:p>
      <w:pPr>
        <w:spacing w:after="0" w:line="11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Employee engagement—the extent to which employees are invested in their job and contribute the effort needed to do their job well—is critical to high-performing businesses. According to Gallup, organizations in the top quartile of employee engagement realize substantially better customer engagement, higher productivity, better retention, fewer accidents, and 21% higher profitability than organizations with low engagement. With median employee tenure now at only approximately four years, and 71% of millennials—the largest population of U.S. workers—not engaged at work, keeping employees engaged is all the more important. Individuals are more engaged at work when they have clarity. Clarity helps individuals better understand how their work connects to the organization’s objectives so they know where to focus their energy for maximum impact and find their work more rewarding and engaging.</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Organizations need new, purpose-built solutions for work management</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Organizations need a work management solution that provides transparency, clarity, and accountability so that individuals and teams know what work needs to get done, who is doing that work, and when that work will be done. This solution needs to scale across people, projects, and portfolios of projects across an entire organization so individuals, team leads, and executives can understand why and how work is getting done and quickly take action on opportunities and inefficiencies in real time.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Existing offerings fall short of delivering on these imperatives:</w:t>
      </w:r>
    </w:p>
    <w:p>
      <w:pPr>
        <w:spacing w:after="0" w:line="117" w:lineRule="exact"/>
        <w:rPr>
          <w:sz w:val="20"/>
          <w:szCs w:val="20"/>
          <w:color w:val="auto"/>
        </w:rPr>
      </w:pPr>
    </w:p>
    <w:p>
      <w:pPr>
        <w:ind w:right="180" w:firstLine="449"/>
        <w:spacing w:after="0" w:line="286" w:lineRule="auto"/>
        <w:rPr>
          <w:sz w:val="20"/>
          <w:szCs w:val="20"/>
          <w:color w:val="auto"/>
        </w:rPr>
      </w:pPr>
      <w:r>
        <w:rPr>
          <w:rFonts w:ascii="Arial" w:cs="Arial" w:eastAsia="Arial" w:hAnsi="Arial"/>
          <w:sz w:val="17"/>
          <w:szCs w:val="17"/>
          <w:b w:val="1"/>
          <w:bCs w:val="1"/>
          <w:i w:val="1"/>
          <w:iCs w:val="1"/>
          <w:color w:val="auto"/>
        </w:rPr>
        <w:t>Spreadsheets and email</w:t>
      </w:r>
      <w:r>
        <w:rPr>
          <w:rFonts w:ascii="Arial" w:cs="Arial" w:eastAsia="Arial" w:hAnsi="Arial"/>
          <w:sz w:val="17"/>
          <w:szCs w:val="17"/>
          <w:color w:val="auto"/>
        </w:rPr>
        <w:t>. Spreadsheets and email are poor tools for project management. These tools lack the required capabilities to help teams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effectively plan, manage, and orchestrate work at scale. Captured information quickly becomes out of date because it is not connected to the workstreams happening outside of these tools, requiring constant work about work to ensure teams stay on the same page.</w:t>
      </w:r>
    </w:p>
    <w:p>
      <w:pPr>
        <w:spacing w:after="0" w:line="165" w:lineRule="exact"/>
        <w:rPr>
          <w:sz w:val="20"/>
          <w:szCs w:val="20"/>
          <w:color w:val="auto"/>
        </w:rPr>
      </w:pPr>
    </w:p>
    <w:p>
      <w:pPr>
        <w:ind w:right="180" w:firstLine="449"/>
        <w:spacing w:after="0" w:line="301" w:lineRule="auto"/>
        <w:rPr>
          <w:sz w:val="20"/>
          <w:szCs w:val="20"/>
          <w:color w:val="auto"/>
        </w:rPr>
      </w:pPr>
      <w:r>
        <w:rPr>
          <w:rFonts w:ascii="Arial" w:cs="Arial" w:eastAsia="Arial" w:hAnsi="Arial"/>
          <w:sz w:val="16"/>
          <w:szCs w:val="16"/>
          <w:b w:val="1"/>
          <w:bCs w:val="1"/>
          <w:i w:val="1"/>
          <w:iCs w:val="1"/>
          <w:color w:val="auto"/>
        </w:rPr>
        <w:t>Legacy project management tools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Legacy project management tools are difficult for many users to adopt. These tools were primarily designed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dedicated project managers, not everyday users who also need to coordinate work as part of their jobs. Everyday users often lack the skills to design a project, make customizations for a specific use case or integrate third-party applications with these difficult-to-use legacy project management tools. Additionally, they create information silos because they are not linked to the underlying work and communications about that work.</w:t>
      </w:r>
    </w:p>
    <w:p>
      <w:pPr>
        <w:spacing w:after="0" w:line="15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b w:val="1"/>
          <w:bCs w:val="1"/>
          <w:i w:val="1"/>
          <w:iCs w:val="1"/>
          <w:color w:val="auto"/>
        </w:rPr>
        <w:t>Vertical applications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Vertical applications are purpose-built for specific use cases, such as software development, ticketing, and financial planning.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generally operate in departmental silos and are not designed for teams to collaborate cross-functionally. These tools are also difficult to adapt to other use cases, either at all or without coding.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right="420" w:firstLine="449"/>
        <w:spacing w:after="0" w:line="263" w:lineRule="auto"/>
        <w:rPr>
          <w:sz w:val="20"/>
          <w:szCs w:val="20"/>
          <w:color w:val="auto"/>
        </w:rPr>
      </w:pPr>
      <w:r>
        <w:rPr>
          <w:rFonts w:ascii="Arial" w:cs="Arial" w:eastAsia="Arial" w:hAnsi="Arial"/>
          <w:sz w:val="18"/>
          <w:szCs w:val="18"/>
          <w:color w:val="auto"/>
        </w:rPr>
        <w:t>We provide a work management platform that enables individuals and teams to get work done faster while improving employee engagement by allowing everyone to see how their work—whether it is a task, process, project, or portfolio of projects—connects to the broader mission of an organization.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Asana:</w:t>
      </w:r>
    </w:p>
    <w:p>
      <w:pPr>
        <w:spacing w:after="0" w:line="131" w:lineRule="exact"/>
        <w:rPr>
          <w:sz w:val="20"/>
          <w:szCs w:val="20"/>
          <w:color w:val="auto"/>
        </w:rPr>
      </w:pPr>
    </w:p>
    <w:p>
      <w:pPr>
        <w:ind w:left="1000" w:hanging="547"/>
        <w:spacing w:after="0" w:line="296" w:lineRule="auto"/>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Individuals </w:t>
      </w:r>
      <w:r>
        <w:rPr>
          <w:rFonts w:ascii="Arial" w:cs="Arial" w:eastAsia="Arial" w:hAnsi="Arial"/>
          <w:sz w:val="16"/>
          <w:szCs w:val="16"/>
          <w:color w:val="auto"/>
        </w:rPr>
        <w:t>can manage and prioritize across each of their projects to maximize their effectiveness and reduce distractions. They can see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 view of tasks that need to be done, how their dependencies owned by teammates are tracking, and how their work contributes to the overall team and organization-wide goals. A new brand campaign, for example, may include daily tasks such as drafting an internal presentation, setting up a client meeting, designing a layout, updating social media channels, and preparing a budget. Individuals can also see their daily tasks across every project they are working on and can plan and prioritize their work in Asana.</w:t>
      </w:r>
    </w:p>
    <w:p>
      <w:pPr>
        <w:spacing w:after="0" w:line="66" w:lineRule="exact"/>
        <w:rPr>
          <w:rFonts w:ascii="Arial" w:cs="Arial" w:eastAsia="Arial" w:hAnsi="Arial"/>
          <w:sz w:val="16"/>
          <w:szCs w:val="16"/>
          <w:color w:val="auto"/>
        </w:rPr>
      </w:pPr>
    </w:p>
    <w:p>
      <w:pPr>
        <w:ind w:left="1000" w:right="20" w:hanging="547"/>
        <w:spacing w:after="0" w:line="275" w:lineRule="auto"/>
        <w:tabs>
          <w:tab w:leader="none" w:pos="100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Teams </w:t>
      </w:r>
      <w:r>
        <w:rPr>
          <w:rFonts w:ascii="Arial" w:cs="Arial" w:eastAsia="Arial" w:hAnsi="Arial"/>
          <w:sz w:val="17"/>
          <w:szCs w:val="17"/>
          <w:color w:val="auto"/>
        </w:rPr>
        <w:t>can collaborate on a project with visibility into each team member’s responsibilities and progress. Team members can assign tasks,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map out steps to completion, define requirements and dependencies, and track project status and progress against due dates. When teammates are operating off a single, real-time plan of record, they do not need to ping each other for updates or sit through status meetings. They can get their work done faster, reducing time spent on work about work. When inevitable surprises or disruptions occur, it is easy for a team lead to adjust the plan, reallocate resources, and communicate updates in real time.</w:t>
      </w:r>
    </w:p>
    <w:p>
      <w:pPr>
        <w:spacing w:after="0" w:line="81" w:lineRule="exact"/>
        <w:rPr>
          <w:rFonts w:ascii="Arial" w:cs="Arial" w:eastAsia="Arial" w:hAnsi="Arial"/>
          <w:sz w:val="17"/>
          <w:szCs w:val="17"/>
          <w:color w:val="auto"/>
        </w:rPr>
      </w:pPr>
    </w:p>
    <w:p>
      <w:pPr>
        <w:ind w:left="1000" w:right="20" w:hanging="547"/>
        <w:spacing w:after="0" w:line="259"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Team leads </w:t>
      </w:r>
      <w:r>
        <w:rPr>
          <w:rFonts w:ascii="Arial" w:cs="Arial" w:eastAsia="Arial" w:hAnsi="Arial"/>
          <w:sz w:val="18"/>
          <w:szCs w:val="18"/>
          <w:color w:val="auto"/>
        </w:rPr>
        <w:t>can manage work across a portfolio of projects or processes. A portfolio could include the new brand campaign, a user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conference, a holiday promotion, and a product launch, all happening simultaneously, involving various cross-functional project teams. Team leads see progress, bottlenecks, resource constraints, and milestones without having to create work about work for teams to come up with this information in spreadsheets, email, or via a status meeting.</w:t>
      </w:r>
    </w:p>
    <w:p>
      <w:pPr>
        <w:spacing w:after="0" w:line="92" w:lineRule="exact"/>
        <w:rPr>
          <w:rFonts w:ascii="Arial" w:cs="Arial" w:eastAsia="Arial" w:hAnsi="Arial"/>
          <w:sz w:val="18"/>
          <w:szCs w:val="18"/>
          <w:color w:val="auto"/>
        </w:rPr>
      </w:pPr>
    </w:p>
    <w:p>
      <w:pPr>
        <w:ind w:left="1000" w:hanging="547"/>
        <w:spacing w:after="0" w:line="263"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Executives </w:t>
      </w:r>
      <w:r>
        <w:rPr>
          <w:rFonts w:ascii="Arial" w:cs="Arial" w:eastAsia="Arial" w:hAnsi="Arial"/>
          <w:sz w:val="18"/>
          <w:szCs w:val="18"/>
          <w:color w:val="auto"/>
        </w:rPr>
        <w:t>can oversee work across projects to gain real-time insights into which initiatives are on track or at risk. With this visibility, they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proactively address inefficiencies, manage team workload, and reallocate work among teams or departments so that the company can stay on track to achieve its objectives.</w:t>
      </w:r>
    </w:p>
    <w:p>
      <w:pPr>
        <w:spacing w:after="0" w:line="184"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As the system of record of past, current, and future work, Asana is powered by a proprietary, multi-dimensional data model called the work graph. The work graph captures and associates units of work (tasks, projects, milestones, and portfolios), the people responsible for executing those units of work, the processes in which work gets done (rules and templates), information about that work (files, comments, status, and metadata), and the relationships across and within this data. The work graph provides individuals, team leads, and executives with dynamic, up-to-date views into the work that is most relevant to them, across multiple people and projects.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core tenet of our platform is to bring clarity, transparency, and accountability to the process of getting work done.</w:t>
      </w:r>
    </w:p>
    <w:p>
      <w:pPr>
        <w:spacing w:after="0" w:line="225"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b w:val="1"/>
          <w:bCs w:val="1"/>
          <w:i w:val="1"/>
          <w:iCs w:val="1"/>
          <w:color w:val="auto"/>
        </w:rPr>
        <w:t xml:space="preserve">Clarity. </w:t>
      </w:r>
      <w:r>
        <w:rPr>
          <w:rFonts w:ascii="Arial" w:cs="Arial" w:eastAsia="Arial" w:hAnsi="Arial"/>
          <w:sz w:val="18"/>
          <w:szCs w:val="18"/>
          <w:color w:val="auto"/>
        </w:rPr>
        <w:t>Our platform adds structure to unstructured work so everyone on a team has clarity into exactly what needs to be done, who is doing it,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it is due. Our multi-dimensional data model provides different views into a project or process, so individuals can not only see the tasks they are working on, but also understand how their individual work contributes to a broader project goal.</w:t>
      </w:r>
    </w:p>
    <w:p>
      <w:pPr>
        <w:spacing w:after="0" w:line="18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b w:val="1"/>
          <w:bCs w:val="1"/>
          <w:i w:val="1"/>
          <w:iCs w:val="1"/>
          <w:color w:val="auto"/>
        </w:rPr>
        <w:t xml:space="preserve">Transparency. </w:t>
      </w:r>
      <w:r>
        <w:rPr>
          <w:rFonts w:ascii="Arial" w:cs="Arial" w:eastAsia="Arial" w:hAnsi="Arial"/>
          <w:sz w:val="18"/>
          <w:szCs w:val="18"/>
          <w:color w:val="auto"/>
        </w:rPr>
        <w:t>Our platform provides transparency into the work being done across a project or portfolio of projects so everyone can see progress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completion, manage deadlines, identify and resolve bottlenecks, and rebalance workloads if needed. Everyone has consistent access to the same data, so team members are on the same page all the time in real time.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32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b w:val="1"/>
          <w:bCs w:val="1"/>
          <w:i w:val="1"/>
          <w:iCs w:val="1"/>
          <w:color w:val="auto"/>
        </w:rPr>
        <w:t xml:space="preserve">Accountability. </w:t>
      </w:r>
      <w:r>
        <w:rPr>
          <w:rFonts w:ascii="Arial" w:cs="Arial" w:eastAsia="Arial" w:hAnsi="Arial"/>
          <w:sz w:val="18"/>
          <w:szCs w:val="18"/>
          <w:color w:val="auto"/>
        </w:rPr>
        <w:t>Our platform enables teams to assign work to individuals with completion dates and requirements, eliminating ambiguity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responsibilities. Individuals can track their action items across projects and manage their time more effectively.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Our Solution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platform provides the following benefits for our customers: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Teams get work done faster</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Teams get work done faster using Asana. Organizations are more agile because they are able to respond to changing demands quickly, accelerate the pace of new offerings, and quickly align resources to achieve their goals. When structure is added to work, creating greater clarity, transparency, and accountability, teams are able to take action and be more efficient. By adopting our platform, our customers experience increased productivity, reduced costs for dedicated project management, and reduced costs from project delays.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Streamlined processes</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Our horizontal application allows individuals to easily customize projects across a breadth of specific use cases. Once a process is defined, it can be templatized and scaled across an organization for consistent, repeatable process management. In October 2019, we launched Rules as part of our suite of automation features. Using Rules, individuals can auto-assign and triage tasks, trigger actions and notifications, and automatically populate due dates for templated projects. Rules can also be triggered from third-party applications such as Outlook, Gmail, and Slack. In the first 60 days of launching Rules, we automated over two million steps for our users.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Increased employee engagement</w:t>
      </w:r>
    </w:p>
    <w:p>
      <w:pPr>
        <w:spacing w:after="0" w:line="117"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Our users love Asana because they gain clarity into what they need to do and why their contribution is important to their organization. Employees are able to see that the work they do matters and understand how it connects to broader organizational goals. By eliminating much of the work about work, we give them back valuable hours in their day to focus on the work that matters, leading to higher productivity, higher engagement, and improved retention.</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Improved confidence and execution</w:t>
      </w:r>
    </w:p>
    <w:p>
      <w:pPr>
        <w:spacing w:after="0" w:line="117"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Using Asana, individuals reduce their anxiety about missing deadlines and having work fall through the cracks. Many people keep mental to-do lists and spend days and nights worrying about everything that needs to get done. As a system of record for work, Asana stores all task and project information on past and present initiatives so people have greater confidence in meeting deliverables. Individuals, team leads, and executives gain real-time visibility into all the work that is happening in their organization, enabling them to feel organized and in control.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jc w:val="both"/>
        <w:ind w:right="100" w:firstLine="449"/>
        <w:spacing w:after="0" w:line="301" w:lineRule="auto"/>
        <w:rPr>
          <w:sz w:val="20"/>
          <w:szCs w:val="20"/>
          <w:color w:val="auto"/>
        </w:rPr>
      </w:pPr>
      <w:r>
        <w:rPr>
          <w:rFonts w:ascii="Arial" w:cs="Arial" w:eastAsia="Arial" w:hAnsi="Arial"/>
          <w:sz w:val="16"/>
          <w:szCs w:val="16"/>
          <w:b w:val="1"/>
          <w:bCs w:val="1"/>
          <w:i w:val="1"/>
          <w:iCs w:val="1"/>
          <w:color w:val="auto"/>
        </w:rPr>
        <w:t xml:space="preserve">Easy for an entire team to adopt. </w:t>
      </w:r>
      <w:r>
        <w:rPr>
          <w:rFonts w:ascii="Arial" w:cs="Arial" w:eastAsia="Arial" w:hAnsi="Arial"/>
          <w:sz w:val="16"/>
          <w:szCs w:val="16"/>
          <w:color w:val="auto"/>
        </w:rPr>
        <w:t>We designed our platform to be easy to adopt and transition away from legacy project management tools without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friction. For example, new users can import existing workflows from spreadsheets into Asana in a few clicks. We provide an intuitive interface that allows users, across any role or level of technical proficiency, to easily set up and navigate a process or project. We designed our platform with the everyday user in mind, incorporating common language navigation, flexible views, and easy point-and-click and drag-and-drop functionalities.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459" w:right="3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b w:val="1"/>
          <w:bCs w:val="1"/>
          <w:i w:val="1"/>
          <w:iCs w:val="1"/>
          <w:color w:val="auto"/>
        </w:rPr>
        <w:t xml:space="preserve">Applicable to individuals, team leads, and executives. </w:t>
      </w:r>
      <w:r>
        <w:rPr>
          <w:rFonts w:ascii="Arial" w:cs="Arial" w:eastAsia="Arial" w:hAnsi="Arial"/>
          <w:sz w:val="18"/>
          <w:szCs w:val="18"/>
          <w:color w:val="auto"/>
        </w:rPr>
        <w:t>Our multi-dimensional data model allows individuals, team leads, and executives to work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way they want, in the interface that is most applicable to them. Users across an organization realize different benefits from our platform, depending on their role:</w:t>
      </w:r>
    </w:p>
    <w:p>
      <w:pPr>
        <w:spacing w:after="0" w:line="89" w:lineRule="exact"/>
        <w:rPr>
          <w:sz w:val="20"/>
          <w:szCs w:val="20"/>
          <w:color w:val="auto"/>
        </w:rPr>
      </w:pPr>
    </w:p>
    <w:p>
      <w:pPr>
        <w:ind w:left="1000" w:hanging="547"/>
        <w:spacing w:after="0"/>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individuals can view a task list to prioritize their work across projects and see how the work they depend on is progressing in real time;</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team leads can view the status of a project to identify dependencies or bottlenecks and manage workloads;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executives can see real-time updates on how their organization is tracking toward strategic objectives.</w:t>
      </w:r>
    </w:p>
    <w:p>
      <w:pPr>
        <w:spacing w:after="0" w:line="225"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b w:val="1"/>
          <w:bCs w:val="1"/>
          <w:i w:val="1"/>
          <w:iCs w:val="1"/>
          <w:color w:val="auto"/>
        </w:rPr>
        <w:t xml:space="preserve">Adaptable to virtually any use case. </w:t>
      </w:r>
      <w:r>
        <w:rPr>
          <w:rFonts w:ascii="Arial" w:cs="Arial" w:eastAsia="Arial" w:hAnsi="Arial"/>
          <w:sz w:val="17"/>
          <w:szCs w:val="17"/>
          <w:color w:val="auto"/>
        </w:rPr>
        <w:t>Asana has broad applicability to thousands of use cases, across many departments and industries. We have seen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strong initial adoption in our customer base particularly in marketing, sales, operations, human resources, product management, and design where there are many workstreams requiring cross-functional collaboration. Customers typically adopt Asana for a specific need within a department where there is no standardized solution in place. After initial adoption, teams often extend their usage of Asana to new use cases and departments as a result of collaborating on cross-functional projects. Organizations can also use Asana for organization-wide processes such as new employee onboarding, goal setting, and meeting agendas, which can lead to rapid expansion as employees see their peers using the platform.</w:t>
      </w:r>
    </w:p>
    <w:p>
      <w:pPr>
        <w:spacing w:after="0" w:line="178"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b w:val="1"/>
          <w:bCs w:val="1"/>
          <w:i w:val="1"/>
          <w:iCs w:val="1"/>
          <w:color w:val="auto"/>
        </w:rPr>
        <w:t xml:space="preserve">Loved by customers. </w:t>
      </w:r>
      <w:r>
        <w:rPr>
          <w:rFonts w:ascii="Arial" w:cs="Arial" w:eastAsia="Arial" w:hAnsi="Arial"/>
          <w:sz w:val="17"/>
          <w:szCs w:val="17"/>
          <w:color w:val="auto"/>
        </w:rPr>
        <w:t>We are intensely focused on customer experience, and in turn our customers love using Asana. We have fostered a vibrant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user community that is passionate about using Asana to orchestrate their work and is active in our Asana Together programs, which include our online forum, Asana Ambassadors, and Asana Certified Pros. We believe we have high levels of customer satisfaction, and our large, loyal customer base often shares their experiences, helping us acquire new customers through word of mouth.</w:t>
      </w:r>
    </w:p>
    <w:p>
      <w:pPr>
        <w:spacing w:after="0" w:line="17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b w:val="1"/>
          <w:bCs w:val="1"/>
          <w:i w:val="1"/>
          <w:iCs w:val="1"/>
          <w:color w:val="auto"/>
        </w:rPr>
        <w:t xml:space="preserve">Efficient hybrid go-to-market model. </w:t>
      </w:r>
      <w:r>
        <w:rPr>
          <w:rFonts w:ascii="Arial" w:cs="Arial" w:eastAsia="Arial" w:hAnsi="Arial"/>
          <w:sz w:val="18"/>
          <w:szCs w:val="18"/>
          <w:color w:val="auto"/>
        </w:rPr>
        <w:t>Our hybrid self-service and direct sales model allows us to efficiently reach teams everywhere and then rapidly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 within our customer base. A majority of our new customers initially adopt our platform through self-service and free trials. Individuals can try our products using a limited functionality free version or a free trial of one of our paid subscription plans for a limited period of time. This allows us to reach a broad user base in organizations of all sizes and across international markets, with a limited sales presence. Our adoption model has allowed us to efficiently turn non-paying customers into paying customers and in some cases, enterprise-wide paid deployments. Our free-to-paid conversion rate of registered users, as measured by the number of paid users divided by the total number of then-registered users, has increased from 3.6% as of January 31, 2018 to over 4.8% as of January 31, 2020.</w:t>
      </w:r>
    </w:p>
    <w:p>
      <w:pPr>
        <w:spacing w:after="0" w:line="195"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b w:val="1"/>
          <w:bCs w:val="1"/>
          <w:i w:val="1"/>
          <w:iCs w:val="1"/>
          <w:color w:val="auto"/>
        </w:rPr>
        <w:t xml:space="preserve">High performance. </w:t>
      </w:r>
      <w:r>
        <w:rPr>
          <w:rFonts w:ascii="Arial" w:cs="Arial" w:eastAsia="Arial" w:hAnsi="Arial"/>
          <w:sz w:val="17"/>
          <w:szCs w:val="17"/>
          <w:color w:val="auto"/>
        </w:rPr>
        <w:t>We have architected our platform to be easy to use, extremely fast, and powerful. We have a modern architecture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intellectual property that enables flexible and fast queries that allow users to edit workflows, change views, and retrieve results. All user data is maintained in our cloud-native platform and changes are immediately synchronized to allow real-time collaboration. We have optimized the communication between the client application and servers to create a responsive experience with low latency and network utilization.</w:t>
      </w:r>
    </w:p>
    <w:p>
      <w:pPr>
        <w:spacing w:after="0" w:line="171"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b w:val="1"/>
          <w:bCs w:val="1"/>
          <w:i w:val="1"/>
          <w:iCs w:val="1"/>
          <w:color w:val="auto"/>
        </w:rPr>
        <w:t xml:space="preserve">Strong company culture. </w:t>
      </w:r>
      <w:r>
        <w:rPr>
          <w:rFonts w:ascii="Arial" w:cs="Arial" w:eastAsia="Arial" w:hAnsi="Arial"/>
          <w:sz w:val="17"/>
          <w:szCs w:val="17"/>
          <w:color w:val="auto"/>
        </w:rPr>
        <w:t>Our culture has been a critical component of our success since our founding. Our commitment to transparency, distributed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responsibility, and employee growth helps us attract and retain top quality talent from diverse backgrounds. We have seen strong retention rates overall, particularly across our engineering department, where our annual retention is over 90% despite competition for talent among software companies. We believe our diverse workforce helps us better understand the needs of our diverse user base and innovate in new and creative ways. We take pride in our industry recognition as a top workplace, such as being named one of the top 10 Best Small &amp; Medium Workplaces for the third year in a row by FORTUNE in 2019, which helps drive our recruiting efforts. Our strong culture has led to high employee engagement as demonstrated by a survey conducted by Culture Amp, placing us in the top quartile of our peers.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320" w:top="459"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b w:val="1"/>
          <w:bCs w:val="1"/>
          <w:i w:val="1"/>
          <w:iCs w:val="1"/>
          <w:color w:val="auto"/>
        </w:rPr>
        <w:t xml:space="preserve">Scalable and secure. </w:t>
      </w:r>
      <w:r>
        <w:rPr>
          <w:rFonts w:ascii="Arial" w:cs="Arial" w:eastAsia="Arial" w:hAnsi="Arial"/>
          <w:sz w:val="17"/>
          <w:szCs w:val="17"/>
          <w:color w:val="auto"/>
        </w:rPr>
        <w:t>We have built our platform using best practices for cloud-based, highly available, scalable, and secure applications.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leverage tooling and automation to enable rapid feature deployment, with frequent code releases to production. We use horizontal-scaling as an architectural pattern across our servers and data storage, which allows us to easily add capacity for a growing customer base, and our systems can easily scale to millions of users. We have demonstrated reliability with over 99.9% average up-time during fiscal 2020 so that our customers can depend on Asana to manage critical projects. We have built security checks and mechanisms into all parts of our technology stack and embraced security practices, like a public bug bounty program and third-party penetration testing, to ensure we are protecting our customers’ data. We are SOC 2 Type II compliant and have implemented robust safeguards to protect the security of data uploaded to and shared within our platform.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We believe every team can benefit from improved coordination. Individuals and teams alike share a universal need for greater clarity, transparency, and accountability. As work continues to get more complex, we believe the shift to using work management solutions like Asana is inevitable. We are primarily replacing tools like spreadsheets and email that were not originally designed for project management, as well as a number of manual processes including phone calls and in-person meetings that people use today to get work done.</w:t>
      </w:r>
    </w:p>
    <w:p>
      <w:pPr>
        <w:spacing w:after="0" w:line="187" w:lineRule="exact"/>
        <w:rPr>
          <w:sz w:val="20"/>
          <w:szCs w:val="20"/>
          <w:color w:val="auto"/>
        </w:rPr>
      </w:pPr>
    </w:p>
    <w:p>
      <w:pPr>
        <w:ind w:right="400" w:firstLine="449"/>
        <w:spacing w:after="0" w:line="342" w:lineRule="auto"/>
        <w:rPr>
          <w:sz w:val="20"/>
          <w:szCs w:val="20"/>
          <w:color w:val="auto"/>
        </w:rPr>
      </w:pPr>
      <w:r>
        <w:rPr>
          <w:rFonts w:ascii="Arial" w:cs="Arial" w:eastAsia="Arial" w:hAnsi="Arial"/>
          <w:sz w:val="16"/>
          <w:szCs w:val="16"/>
          <w:color w:val="auto"/>
        </w:rPr>
        <w:t>The work management market that we address is large and rapidly growing. According to a June 2019 IDC report, the markets for collaborative applications and project and portfolio management, in aggregate, are expected to grow from $23 billion in 2020 to $32 billion in 2023.</w:t>
      </w:r>
    </w:p>
    <w:p>
      <w:pPr>
        <w:spacing w:after="0" w:line="124"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We believe we have the opportunity to address the 1.25 billion global information workers, estimated by a September 2019 report by Forrester Research, Inc., or Forrester. We believe we are less than 3% penetrated among addressable employees in our existing customer base, indicating significant whitespace opportunity. Additionally, we believe we have significant greenfield opportunities among addressable customers worldwide.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We have driven rapid adoption of our platform and intend to continue to promote our platform and its adoption through the following growth strategies:</w:t>
      </w:r>
    </w:p>
    <w:p>
      <w:pPr>
        <w:spacing w:after="0" w:line="58"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b w:val="1"/>
          <w:bCs w:val="1"/>
          <w:i w:val="1"/>
          <w:iCs w:val="1"/>
          <w:color w:val="auto"/>
        </w:rPr>
        <w:t>Add more customers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over 75,000 paying customers as of January 31, 2020 and over 3.2 million free activated accounts since inception,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we believe we have a large opportunity to convert these accounts into paying customers. An activated account represents an organization or individual that has collaborated with another user. We also plan to acquire new customers through word of mouth, marketing activities, self-service, and direct sales efforts. Separately, we also see a large opportunity to expand our international customer base. For fiscal 2020, % of our revenues came from international regions, with limited dedicated sales effort and no product customization outside of limited language translation and multi-currency capabilities. Within the past 12 months, we have opened offices in key regions across Europe and Asia, and expect to grow our customer base within these areas.</w:t>
      </w:r>
    </w:p>
    <w:p>
      <w:pPr>
        <w:spacing w:after="0" w:line="160"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b w:val="1"/>
          <w:bCs w:val="1"/>
          <w:i w:val="1"/>
          <w:iCs w:val="1"/>
          <w:color w:val="auto"/>
        </w:rPr>
        <w:t>Expand within our existing customer base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typically adopt Asana for a specific use case within a department. After initial adoption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team, customers frequently expand to new use cases across departments and, in some instances, across an entire organization. As such, we have a significant opportunity to expand usage within our customer base. We believe we are less than 3% penetrated among addressable employees in our existing customer base. We are investing in our expansion efforts by growing our direct sales team, which has nearly doubled in size since January 31, 2019, promoting department-specific use cases, targeting organization-wide use cases such as employee onboarding and goal setting, and continually improving our interface to ease cross-team adoption.</w:t>
      </w:r>
    </w:p>
    <w:p>
      <w:pPr>
        <w:spacing w:after="0" w:line="191"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b w:val="1"/>
          <w:bCs w:val="1"/>
          <w:i w:val="1"/>
          <w:iCs w:val="1"/>
          <w:color w:val="auto"/>
        </w:rPr>
        <w:t xml:space="preserve">Continue to innovate. </w:t>
      </w:r>
      <w:r>
        <w:rPr>
          <w:rFonts w:ascii="Arial" w:cs="Arial" w:eastAsia="Arial" w:hAnsi="Arial"/>
          <w:sz w:val="18"/>
          <w:szCs w:val="18"/>
          <w:color w:val="auto"/>
        </w:rPr>
        <w:t>Product innovation is critical to maintaining our success as a leader in work management. We will continue to invest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expanding our product offerings and enhancing the features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459" w:right="3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functionality of our platform, particularly in the areas of integrations, automation, functional workflows, security, and organization-wide use cases. While we add new capabilities to our platform, we are also focused on simplifying our platform so that it becomes easier for teams to adopt with the added functionality. Since January 31, 2019, we have grown our engineering team by over 80% to drive product innovation.</w:t>
      </w:r>
    </w:p>
    <w:p>
      <w:pPr>
        <w:spacing w:after="0" w:line="165"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b w:val="1"/>
          <w:bCs w:val="1"/>
          <w:i w:val="1"/>
          <w:iCs w:val="1"/>
          <w:color w:val="auto"/>
        </w:rPr>
        <w:t xml:space="preserve">Keep building a high value brand. </w:t>
      </w:r>
      <w:r>
        <w:rPr>
          <w:rFonts w:ascii="Arial" w:cs="Arial" w:eastAsia="Arial" w:hAnsi="Arial"/>
          <w:sz w:val="18"/>
          <w:szCs w:val="18"/>
          <w:color w:val="auto"/>
        </w:rPr>
        <w:t>Our goal is to be the leader in work management. The work management market is still in the early stages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with greenfield opportunities for adoption among companies of all sizes. We will continue to invest in building our brand through customer experience, marketing, industry and analyst education, and broad customer engagement. In 2018, we were recognized by Forrester as a Leader in Collaborative Work Management Tools for the Enterprise based on a range of criteria, including the highest scores possible in customer satisfaction and pace of innovation criteria. In addition, G2 ranks Asana as the top Project Management software platform, leading the industry in market presence and customer satisfaction.</w:t>
      </w:r>
    </w:p>
    <w:p>
      <w:pPr>
        <w:spacing w:after="0" w:line="19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b w:val="1"/>
          <w:bCs w:val="1"/>
          <w:i w:val="1"/>
          <w:iCs w:val="1"/>
          <w:color w:val="auto"/>
        </w:rPr>
        <w:t xml:space="preserve">Develop functional workflows. </w:t>
      </w:r>
      <w:r>
        <w:rPr>
          <w:rFonts w:ascii="Arial" w:cs="Arial" w:eastAsia="Arial" w:hAnsi="Arial"/>
          <w:sz w:val="18"/>
          <w:szCs w:val="18"/>
          <w:color w:val="auto"/>
        </w:rPr>
        <w:t>We have seen strong initial adoption in our customer base particularly in marketing, sales, operations,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product management, and design where there are many workstreams requiring cross-functional collaboration. We have developed purpose-built templates and premium functionality that focuses on common projects and processes within these groups. We will continue to find ways to develop specific functional workflows where we see an opportunity for early and broad adoption of our platform.</w:t>
      </w:r>
    </w:p>
    <w:p>
      <w:pPr>
        <w:spacing w:after="0" w:line="187"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b w:val="1"/>
          <w:bCs w:val="1"/>
          <w:i w:val="1"/>
          <w:iCs w:val="1"/>
          <w:color w:val="auto"/>
        </w:rPr>
        <w:t xml:space="preserve">Develop organization-wide use cases. </w:t>
      </w:r>
      <w:r>
        <w:rPr>
          <w:rFonts w:ascii="Arial" w:cs="Arial" w:eastAsia="Arial" w:hAnsi="Arial"/>
          <w:sz w:val="17"/>
          <w:szCs w:val="17"/>
          <w:color w:val="auto"/>
        </w:rPr>
        <w:t>Customers use Asana for a number of use cases, from departmental projects to organization-wide initiatives,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employee goal management, new employee onboarding, one-on-ones, and meeting agendas. Organization-wide initiatives represent a significant opportunity to expand our presence further within our customer base. Today, our customers can develop and implement organization-wide use cases on their own. Over time, we intend to productize and monetize organization-specific use cases on our platform.</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459" w:right="3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Culture</w:t>
      </w:r>
    </w:p>
    <w:p>
      <w:pPr>
        <w:spacing w:after="0" w:line="121" w:lineRule="exact"/>
        <w:rPr>
          <w:sz w:val="20"/>
          <w:szCs w:val="20"/>
          <w:color w:val="auto"/>
        </w:rPr>
      </w:pPr>
    </w:p>
    <w:p>
      <w:pPr>
        <w:ind w:right="180" w:firstLine="449"/>
        <w:spacing w:after="0" w:line="275" w:lineRule="auto"/>
        <w:rPr>
          <w:sz w:val="20"/>
          <w:szCs w:val="20"/>
          <w:color w:val="auto"/>
        </w:rPr>
      </w:pPr>
      <w:r>
        <w:rPr>
          <w:rFonts w:ascii="Arial" w:cs="Arial" w:eastAsia="Arial" w:hAnsi="Arial"/>
          <w:sz w:val="17"/>
          <w:szCs w:val="17"/>
          <w:color w:val="auto"/>
        </w:rPr>
        <w:t>Our company culture is a core driver of our business success and enables us to work towards achieving our mission. A core tenet of our culture is a shared commitment to mindfulness, which informs our product, business, and people decisions and shapes how we interact with each other daily. By investing in diversity and inclusion programs, we help ensure that everyone can thrive and feel a sense of belonging, enabling us to better understand the needs of our diverse customer base and innovate in new and creative ways. We also use Asana ourselves, providing our employees with clarity into how their work contributes to our mission and enabling them to do their most impactful work.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171450</wp:posOffset>
            </wp:positionV>
            <wp:extent cx="4543425" cy="22371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54342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On Glassdoor, we have a 4.8 out of 5.0 score and a 97% CEO approval rating. For the fourth consecutive year, Great Place to Work and FORTUNE have placed us in the top 5 Best Small and Medium Workplaces in the Bay Area. In 2019, we were awarded the Top 10 Best Small and Medium Workplaces; #3 Best Workplaces Technology; #5 Best Workplaces for Millennials; and #11 Best Workplaces for Women by Great Place to Work. As of January 31, 2020, we had 701 employees, representing growth of 65% since January 31,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Features of our Platform</w:t>
      </w:r>
    </w:p>
    <w:p>
      <w:pPr>
        <w:spacing w:after="0" w:line="121" w:lineRule="exact"/>
        <w:rPr>
          <w:sz w:val="20"/>
          <w:szCs w:val="20"/>
          <w:color w:val="auto"/>
        </w:rPr>
      </w:pPr>
    </w:p>
    <w:p>
      <w:pPr>
        <w:ind w:right="320" w:firstLine="449"/>
        <w:spacing w:after="0" w:line="279" w:lineRule="auto"/>
        <w:rPr>
          <w:sz w:val="20"/>
          <w:szCs w:val="20"/>
          <w:color w:val="auto"/>
        </w:rPr>
      </w:pPr>
      <w:r>
        <w:rPr>
          <w:rFonts w:ascii="Arial" w:cs="Arial" w:eastAsia="Arial" w:hAnsi="Arial"/>
          <w:sz w:val="17"/>
          <w:szCs w:val="17"/>
          <w:color w:val="auto"/>
        </w:rPr>
        <w:t>Asana is a single unified platform that provides clarity at every level of an organization for individuals, team leads, and executives. Powered by a proprietary, multi-dimensional data model called the work graph, which captures and associates units of work, Asana provides dynamic views—List, Calendar, Board, Timeline, Portfolio, Reports—so that individuals can see work data in whatever way makes most sense to them. Any changes made to underlying data through one view is automatically updated in real time to all other views.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 Graph Hierarchy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Tasks</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Tasks are the atomic unit of work within the Asana work graph. Within tasks, users can assign owners, set due dates and times, attach documents, and define custom fields for information about the task so that everyone knows who is doing what by when and has the information needed to complete the work. Custom fields are metadata that help users plan, sort, and organize work. Collaboration including comments, sharing, @-mentions, and image markup are natively built into tasks, ensuring that relevant updates and context stay with the work at hand. Changes in task information made in one view are automatically updated across all views where the task is visible so that users don’t have to re-enter information.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Projects</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A project consists of a set of tasks, which can be organized into sections and arranged into dependencies that give teams clarity on plan and process. Projects can be used to accomplish a specific goal, such as delivering a presentation or campaign, or can be used to intake and process requests, such as a help desk or creative production. If the project is a workflow the team normally follows, it can be converted into a template, making it easy to set up a repeatable workflow so that teams do not have to start from scratch or miss any steps.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Portfolios</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Portfolio lets users organize projects into one centralized location, acting as the mission control so that team leads and executives have real-time visibility into how work is progressing across projects. Users can add or remove projects, check the status and progress of each project, view priorities, and assign relevant project owners. Individuals can click on any project to see a full summary overview of the project with the ability to edit due dates, view key milestones, link to the tasks and resources available, check or add status updates, and add comments for the team. They can also see all projects within the Portfolio on a Timeline to get a bird’s-eye view of when initiatives are kicking off and when they will be completed. Like many of the views in Asana, the layout of Portfolio can be customized based on individual preference. Portfolios can be made public or private, or can be shared only with specific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149860</wp:posOffset>
            </wp:positionV>
            <wp:extent cx="5194935" cy="30600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94935"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320" w:top="459" w:right="3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Dynamic Views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My Tasks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31718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86045"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My Tasks provides a single, clear view of every deliverable and due date assigned to individuals so that they start their day knowing exactly what they need to do, by when. Items can be organized and dragged and dropped into different categories so that individuals can prioritize their part of a project or any process-related tasks.</w:t>
      </w:r>
    </w:p>
    <w:p>
      <w:pPr>
        <w:spacing w:after="0" w:line="184"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All individuals have their own My Tasks. Team members can view other team members’ tasks to see what they are working on. Individuals also have the option to create private tasks, which are only visible to themselves and the people they have explicitly added as collaborators.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Inbox</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Inbox is the notification center for Asana. It displays updates on all projects that individuals are a member of and tasks that they follow or are assigned so that they can stay on top of the work that matters. Task and project updates—such as when a task is marked complete, a comment is added, or the status of a project is updated—triggers a notification that appears in the Inbox of anyone who follows the task or belongs to the project. Individuals can filter their Inbox based on assigned tasks and @-mentions so they can focus on their top priorities.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20" w:top="459" w:right="3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List View</w:t>
      </w:r>
    </w:p>
    <w:p>
      <w:pPr>
        <w:spacing w:after="0" w:line="117"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The List view of a project lets individuals sort, organize into sections, and filter a list of tasks. Tasks can be dragged and dropped, and filtered and sorted according to what matters most so project teams can see all the work needed to complete a project and easily drill down into details. Keyboard shortcuts can be used to move tasks up or down the list, and a project toolbar allows users to adjust their project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130810</wp:posOffset>
            </wp:positionV>
            <wp:extent cx="5186045" cy="31889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8604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60"/>
          </w:cols>
          <w:pgMar w:left="320" w:top="459" w:right="6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Calendar View</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Calendar view displays tasks within the project on a calendar based on due date and, optionally, start and end dates, so that individuals can see how many tasks are due within a time period and stay on top of their deadlines. Individuals can contribute tasks to a team calendar, plan their work on a schedule, and then easily drag and drop tasks to make adjustments. Individuals can see their personal task list, all the tasks within a specific project, as well as all tasks across projects relevant to a team on a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3566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86045"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View</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Boards provide individuals with a kanban-style display. Individuals use boards to plan and organize their work as if they were organizing sticky notes in columns on a wall so that they can quickly visualize the current stage of each task within a workstream. Tasks in the project are represented as cards within the columns and individuals commonly use the columns to represent stages in a workflow. As a task makes its way through the workflow, it moves from the left to the right. The tasks display due dates, assignee, custom fields, and previews of the latest attached files.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459" w:right="3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420" w:firstLine="449"/>
        <w:spacing w:after="0" w:line="263" w:lineRule="auto"/>
        <w:rPr>
          <w:sz w:val="20"/>
          <w:szCs w:val="20"/>
          <w:color w:val="auto"/>
        </w:rPr>
      </w:pPr>
      <w:r>
        <w:rPr>
          <w:rFonts w:ascii="Arial" w:cs="Arial" w:eastAsia="Arial" w:hAnsi="Arial"/>
          <w:sz w:val="18"/>
          <w:szCs w:val="18"/>
          <w:color w:val="auto"/>
        </w:rPr>
        <w:t>Boards can be customized to what matters most to the user, with the ability to add custom fields, filter, and sort by task, assignee, or due date. Additionally, tasks appearing in one board can be added to other projects so that work stays connected and up to date across initiatives without team members having to re-enter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31972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8604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Timeline View</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Timeline allows teams to create and visualize project plans over time so that individuals can identify bottlenecks and task dependencies and make real-time adjustments as needed. Our Timeline view is more powerful than a static Gantt chart because it is connected to the underlying work and updates dynamically as work progresses. When a deadline shifts, all subsequent deadlines can shift accordingly. Timeline helps ensure work stays on track and all team members have clear visibility over the steps involved and progress towards the end goal.</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80"/>
          </w:cols>
          <w:pgMar w:left="32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Timeline is particularly relevant for time-bounded initiatives which have timing and sequencing dependencies. Timeline gives executives and project stakeholders an at-a-glance view of project plans and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133985</wp:posOffset>
            </wp:positionV>
            <wp:extent cx="5186045" cy="31972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8604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80"/>
          </w:cols>
          <w:pgMar w:left="320" w:top="459" w:right="3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Workload</w:t>
      </w:r>
    </w:p>
    <w:p>
      <w:pPr>
        <w:spacing w:after="0" w:line="117"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Workload visualizes the work, capacity, and trendline of each team member so that team leads have accurate and up-to-date information into the workload of their team members. The trendline is generated by number of tasks or numerical custom field values such as estimated hours or effort. Team leads can set capacity and be notified when team members are overloaded. Individuals can reallocate work from one team member to another with a drag-and-drop interface.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26231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8604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Automated Workflows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Processes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 process, or workflow, is the sequence of stages a piece of work passes through from initiation to completion. Asana provides pre-made templates for common processes around ongoing work within marketing, design, operations, sales, HR, product, engineering, and IT functions so that individuals and teams have a starting point for planning, managing, and executing their work.</w:t>
      </w:r>
    </w:p>
    <w:p>
      <w:pPr>
        <w:spacing w:after="0" w:line="18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Teams have the ability to create and save custom templates so that they can standardize and provide clarity on all the necessary steps of their unique workflows. Additionally, teams can implement rules to automate repetitive, manual tasks in a workflow, such as auto-assigning a task based on custom field status or moving a task from one column to another in Board view.</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Rules</w:t>
      </w:r>
    </w:p>
    <w:p>
      <w:pPr>
        <w:spacing w:after="0" w:line="117" w:lineRule="exact"/>
        <w:rPr>
          <w:sz w:val="20"/>
          <w:szCs w:val="20"/>
          <w:color w:val="auto"/>
        </w:rPr>
      </w:pPr>
    </w:p>
    <w:p>
      <w:pPr>
        <w:ind w:right="240" w:firstLine="449"/>
        <w:spacing w:after="0" w:line="301" w:lineRule="auto"/>
        <w:rPr>
          <w:sz w:val="20"/>
          <w:szCs w:val="20"/>
          <w:color w:val="auto"/>
        </w:rPr>
      </w:pPr>
      <w:r>
        <w:rPr>
          <w:rFonts w:ascii="Arial" w:cs="Arial" w:eastAsia="Arial" w:hAnsi="Arial"/>
          <w:sz w:val="16"/>
          <w:szCs w:val="16"/>
          <w:color w:val="auto"/>
        </w:rPr>
        <w:t>Rules help automate tedious and repetitive tasks so that teams can reduce manual work and spend more time on the work that matters. Individuals can select from suggested pre-built rules from the rules gallery or they can create a custom rule. A rule consists of one or more triggers and actions, enabling an individual to create logic and multiple actions around business scenarios. Actions in third-party applications that are integrated with Asana, such as Outlook, Gmail, and Slack, can also trigger rules, making it easy to automate manual work across applications.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320" w:top="459" w:right="3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Reporting</w:t>
      </w:r>
    </w:p>
    <w:p>
      <w:pPr>
        <w:spacing w:after="0" w:line="117"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Asana provides reporting capabilities that automate and simplify the process of creating status reports and give individuals and teams a searchable history of their work data. Advanced Search allows individuals to specify search parameters to find data and conversations quickly and easily. The work graph enables users to find work based on various attributes, including who is involved, what projects a task may belong to, and even the status of dependencies. Search criteria can be saved as reports, and results can be viewed in a list or calendar.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Integrations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Asana platform integrates with many third-party applications including:</w:t>
      </w:r>
    </w:p>
    <w:p>
      <w:pPr>
        <w:spacing w:after="0" w:line="131" w:lineRule="exact"/>
        <w:rPr>
          <w:sz w:val="20"/>
          <w:szCs w:val="20"/>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Microsoft apps such as Teams, Outlook, OneDrive, SharePoint, and Power Automate;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G-suite apps such as Gmail, Calendar, Chrome, Sheets, and Drive;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Functional tools such as Salesforce and Adobe Creative Cloud;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Communication apps such as Slack;</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File sharing apps such as Box and Dropbox;</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Development apps such as GitHub and Jira;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Reporting apps such as Tableau.</w:t>
      </w:r>
    </w:p>
    <w:p>
      <w:pPr>
        <w:spacing w:after="0" w:line="225" w:lineRule="exact"/>
        <w:rPr>
          <w:sz w:val="20"/>
          <w:szCs w:val="20"/>
          <w:color w:val="auto"/>
        </w:rPr>
      </w:pPr>
    </w:p>
    <w:p>
      <w:pPr>
        <w:ind w:right="300" w:firstLine="449"/>
        <w:spacing w:after="0" w:line="308" w:lineRule="auto"/>
        <w:rPr>
          <w:sz w:val="20"/>
          <w:szCs w:val="20"/>
          <w:color w:val="auto"/>
        </w:rPr>
      </w:pPr>
      <w:r>
        <w:rPr>
          <w:rFonts w:ascii="Arial" w:cs="Arial" w:eastAsia="Arial" w:hAnsi="Arial"/>
          <w:sz w:val="17"/>
          <w:szCs w:val="17"/>
          <w:color w:val="auto"/>
        </w:rPr>
        <w:t>Integrations connect applications to Asana, which provides a central hub for managing work. Teams save time by eliminating the need to switch between various sites and tools. By providing this centralized hub, Asana ensures that work in other tools is tracked and completed.</w:t>
      </w:r>
    </w:p>
    <w:p>
      <w:pPr>
        <w:spacing w:after="0" w:line="146"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Integrations with third-party applications are achieved through Asana Connect without sharing any usernames or passwords. Asana Connect enables seamless integration with third-party applications and gives users the ability to manage all of their work streams through a single platform. Asana Connect uses OAuth 2.0, an industry standard for authentication.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3103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86045"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The architecture we have built to power Asana is secure and scalable offering users a customized experience that is easy to navigate while handling complex data management behind the scenes. We designed our systems to allow flexible access to the work graph data, allowing us to build rich new functionality quickly and innovate in the work management space.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Extensible, Efficient Technology Platform</w:t>
      </w:r>
    </w:p>
    <w:p>
      <w:pPr>
        <w:spacing w:after="0" w:line="117" w:lineRule="exact"/>
        <w:rPr>
          <w:sz w:val="20"/>
          <w:szCs w:val="20"/>
          <w:color w:val="auto"/>
        </w:rPr>
      </w:pPr>
    </w:p>
    <w:p>
      <w:pPr>
        <w:ind w:right="200" w:firstLine="449"/>
        <w:spacing w:after="0" w:line="293" w:lineRule="auto"/>
        <w:rPr>
          <w:sz w:val="20"/>
          <w:szCs w:val="20"/>
          <w:color w:val="auto"/>
        </w:rPr>
      </w:pPr>
      <w:r>
        <w:rPr>
          <w:rFonts w:ascii="Arial" w:cs="Arial" w:eastAsia="Arial" w:hAnsi="Arial"/>
          <w:sz w:val="16"/>
          <w:szCs w:val="16"/>
          <w:color w:val="auto"/>
        </w:rPr>
        <w:t>Our cloud-native platform includes proprietary software services built on top of infrastructure provided by Amazon Web Services. We shard customer data in our distributed datastore to scale horizontally and provide high performance, and redundancy across multiple third-party data centers in several locations in the United States and Europe to protect against data loss and provide high availability. The distributed datastore allows flexible indexing across single or multiple attributes of the objects stored in it, thus efficiently supporting a wide variety of queries. Our platform services keep track of connected devices and data requests, automatically sending updates to devices as data is updated. This allows our client software to surface real-time information with minimal data transfer and round-trips to the servers, and provides a fast, responsive experience to our customers.</w:t>
      </w:r>
    </w:p>
    <w:p>
      <w:pPr>
        <w:spacing w:after="0" w:line="164"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We provide our software as a service to customers, so the technology we build includes deployment tools to ensure we can publish software updates rapidly and safely, as well as monitoring and automation tools.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Commitment to Security and Privacy</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Upholding the trust that we have established with our customers and gaining the trust of new customers remains a priority for us and as a result, we have implemented robust safeguards to protect the security of customer data. Our security program includes conducting risk assessments of all systems and networks that process customer data; monitoring for security events; maintaining incident response, disaster recovery, and business continuity plans that explicitly address and provide guidance to our personnel in furtherance of the security, confidentiality, integrity, and availability of customer data; and having a qualified third party perform security assessments on a periodic basis to test against widely recognized security standards and practices.</w:t>
      </w:r>
    </w:p>
    <w:p>
      <w:pPr>
        <w:spacing w:after="0" w:line="161"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We have achieved and actively maintain certification of compliance to the SOC 2 (Type II) information security standard for the controls relevant to security, availability, and confidentiality. Service Organization Controls, or SOC, are standards established by the American Institute of Certified Public Accountants for reporting on internal control environments implemented within an organization. This means that an independent third party has both validated our processes and practices with respect to these criteria and confirmed our ability to maintain compliance with the controls we have implemented. We have built our platform with security features that are designed to be scalable as we develop and introduce new functionality, including but not limited to supporting encryption of user data in transit and at rest within our platform, and implementing strong access controls and multi-factor authentication to prevent unauthorized access to customer data. Additionally, our platform allows customers to implement their own granular access controls by giving them the ability to restrict access on a per task, per project, and per team basis.</w:t>
      </w:r>
    </w:p>
    <w:p>
      <w:pPr>
        <w:spacing w:after="0" w:line="178"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In addition to security, we are deeply committed to privacy and to protecting and honoring the privacy rights of our customers. We have established a comprehensive privacy compliance program, aligning our practices with regulations such as the General Data Protection Regulation and the California Consumer Privacy Act, including by delivering periodic training to our employees on privacy best practices, reviewing and mapping the data we collect, use, and share, and creating a customer rights program and response process to honor the requests of our customers exercising their privacy rights. Above all, we strive to be transparent about our privacy practices, independent of legal obligations.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320" w:top="459" w:right="3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200" w:firstLine="449"/>
        <w:spacing w:after="0" w:line="275" w:lineRule="auto"/>
        <w:rPr>
          <w:sz w:val="20"/>
          <w:szCs w:val="20"/>
          <w:color w:val="auto"/>
        </w:rPr>
      </w:pPr>
      <w:r>
        <w:rPr>
          <w:rFonts w:ascii="Arial" w:cs="Arial" w:eastAsia="Arial" w:hAnsi="Arial"/>
          <w:sz w:val="17"/>
          <w:szCs w:val="17"/>
          <w:color w:val="auto"/>
        </w:rPr>
        <w:t>We have customers of all sizes ranging from individuals to global organizations. 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We define a paying customer as a customer on a paid subscription plan. As of January 31, 2020, we had over 75,000 paying customers globally. We define customers to include paying customers, customers who are on a free version, and customers who are on a free trial of one of our paid subscription plans.</w:t>
      </w:r>
    </w:p>
    <w:p>
      <w:pPr>
        <w:spacing w:after="0" w:line="176" w:lineRule="exact"/>
        <w:rPr>
          <w:sz w:val="20"/>
          <w:szCs w:val="20"/>
          <w:color w:val="auto"/>
        </w:rPr>
      </w:pPr>
    </w:p>
    <w:p>
      <w:pPr>
        <w:ind w:right="220" w:firstLine="449"/>
        <w:spacing w:after="0" w:line="308" w:lineRule="auto"/>
        <w:rPr>
          <w:sz w:val="20"/>
          <w:szCs w:val="20"/>
          <w:color w:val="auto"/>
        </w:rPr>
      </w:pPr>
      <w:r>
        <w:rPr>
          <w:rFonts w:ascii="Arial" w:cs="Arial" w:eastAsia="Arial" w:hAnsi="Arial"/>
          <w:sz w:val="17"/>
          <w:szCs w:val="17"/>
          <w:color w:val="auto"/>
        </w:rPr>
        <w:t>Our current customer base spans numerous industry categories, including technology, retail, education, non-profit, government, healthcare, media, and financial services. No individual customer represented more than 1% of our revenues in the years ended January 31, 2019 and 2020.</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employ a hybrid go-to-market approach, combining a self-service model with direct sales efforts. We are focused on landing teams worldwide and expanding across use cases, both within and between organizations, to ensure the success of our customers. This in turn creates positive word-of-mouth marketing, driving adoption, expansion and ultimately our business results.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Self-Service Model</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A majority of our paying customers initially adopt our platform through self-service and free trials. To demonstrate the value of our platform to potential paying customers, we provide free trials of our paid Asana Premium and Business offerings in addition to our free Basic offering for teams of up to 15 people. As individuals, teams and their guests realize the productivity benefits we provide, Asana becomes an increasingly integral part of their day-to-day work and critical to helping them achieve their objectives.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 Sales</w:t>
      </w:r>
    </w:p>
    <w:p>
      <w:pPr>
        <w:spacing w:after="0" w:line="117" w:lineRule="exact"/>
        <w:rPr>
          <w:sz w:val="20"/>
          <w:szCs w:val="20"/>
          <w:color w:val="auto"/>
        </w:rPr>
      </w:pPr>
    </w:p>
    <w:p>
      <w:pPr>
        <w:ind w:right="280" w:firstLine="449"/>
        <w:spacing w:after="0" w:line="279" w:lineRule="auto"/>
        <w:rPr>
          <w:sz w:val="20"/>
          <w:szCs w:val="20"/>
          <w:color w:val="auto"/>
        </w:rPr>
      </w:pPr>
      <w:r>
        <w:rPr>
          <w:rFonts w:ascii="Arial" w:cs="Arial" w:eastAsia="Arial" w:hAnsi="Arial"/>
          <w:sz w:val="17"/>
          <w:szCs w:val="17"/>
          <w:color w:val="auto"/>
        </w:rPr>
        <w:t>In conjunction with our self-service model, we have a targeted direct sales team focused on promoting new use cases and expanding our footprint within our existing customer base. Our direct sales force has a global presence, and consists primarily of solutions sales teams focused primarily on strategic accounts with expansion opportunities including department-specific and organization-wide use cases such as employee onboarding and goal setting. Our direct sales team has nearly doubled in size since January 31, 2019.</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Marketing and Customer Success</w:t>
      </w:r>
    </w:p>
    <w:p>
      <w:pPr>
        <w:spacing w:after="0" w:line="117" w:lineRule="exact"/>
        <w:rPr>
          <w:sz w:val="20"/>
          <w:szCs w:val="20"/>
          <w:color w:val="auto"/>
        </w:rPr>
      </w:pPr>
    </w:p>
    <w:p>
      <w:pPr>
        <w:jc w:val="both"/>
        <w:ind w:right="280" w:firstLine="449"/>
        <w:spacing w:after="0" w:line="263" w:lineRule="auto"/>
        <w:rPr>
          <w:sz w:val="20"/>
          <w:szCs w:val="20"/>
          <w:color w:val="auto"/>
        </w:rPr>
      </w:pPr>
      <w:r>
        <w:rPr>
          <w:rFonts w:ascii="Arial" w:cs="Arial" w:eastAsia="Arial" w:hAnsi="Arial"/>
          <w:sz w:val="18"/>
          <w:szCs w:val="18"/>
          <w:color w:val="auto"/>
        </w:rPr>
        <w:t>We market our platform through owned properties, such as our website and social media channels, media coverage, paid acquisition, and word of mouth to promote discovery and adoption. Our customers also have the ability to invite external parties to collaborate on specific Asana projects, which supports viral adoption of our platform.</w:t>
      </w:r>
    </w:p>
    <w:p>
      <w:pPr>
        <w:spacing w:after="0" w:line="184"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Our dedicated efforts to deliver remarkable customer and community experiences creates success stories that drive word of mouth. We offer on-demand education available in-product and online, and via live learning courses as well as robust customer support available in six languages. We also offer our customers the option to partner with a list of managed service providers, consulting firms, and system integrators to help customize their account, onboard teams and run onsite training.</w:t>
      </w:r>
    </w:p>
    <w:p>
      <w:pPr>
        <w:spacing w:after="0" w:line="18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Our global community of customers and experts, Asana Together, connects customers, both online and offline, and creates champions. Through Asana Together, customers have access to our community Forum to ask questions and connect with peers. We also certify and support Asana Ambassadors (go-to enthusiasts who assist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459" w:right="3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and promote adoption within their networks) and Certified Pros (independent third-party Asana consultants who offer their services for a discretionary fee to help teams make the most of their experience on our platform). Through Asana Together, we have hosted multiple in-person events on five different continents.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Key to our success is the time, attention and investment we place on continued innovation in our platform. We will continue to invest in expanding our product offerings and enhancing the features and functionality of our platform, particularly in the areas of integrations, automation, functional workflows, security, and organization-wide use cases. We leverage the breadth of our customer base, and the diverse ways in which they use our platform, to recognize their needs quickly and guide future innovation. Further, we ourselves are users—all of our employees are committed to using Asana internally, every single day—ensuring our entire organization is in touch with the platform’s capabilities and can rapidly identify or suggest improvements. Our research and development team is responsible for the design, development, testing, and delivery of solutions for our platform. Since January 31, 2019, we have grown our engineering department by over 80% to drive product innovation.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The market for work management platforms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The work management solutions market is rapidly evolving and highly competitive, with relatively low barriers to entry, and in the future there will likely be an increasing number of similar solutions offered by additional competitors. Our competition addresses the project management and work management categories, including, but not limited to, solutions around email, messaging, and spreadsheets. Our competitors fall into the following groups: companies specifically offering work management solutions; companies offering productivity suites; and companies specializing in vertical solutions.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we compete favorably based on the following competitive factors:</w:t>
      </w:r>
    </w:p>
    <w:p>
      <w:pPr>
        <w:spacing w:after="0" w:line="131" w:lineRule="exact"/>
        <w:rPr>
          <w:sz w:val="20"/>
          <w:szCs w:val="20"/>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adaptability to a broad range of use cases;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features and functionality of platform capabilities;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developments and enhancements of work management solutions;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customer service and support efforts;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efficient hybrid go-to-market model;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ease of use, performance, price, and reliability of solutions;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scalability and security;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brand strength;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ability to create easy to use integrations for, and robust, effective partnerships with, other larger enterprise software solutions and tools.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intellectual property is an important aspect of our business. To establish and protect our proprietary rights, we rely upon a combination of patent, copyright, trade secret and trademark laws, and contractual restrictions such as confidentiality agreements, licenses, and intellectual property assignment agreements. We maintain a policy requiring our employees, contractors, consultants, and other third parties to enter into confidentiality and proprietary rights agreements to control access to our proprietary information. These laws,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320" w:top="459" w:right="3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procedures, and restrictions provide only limited protection, and any of our intellectual property rights may be challenged, invalidated, circumvented, infringed, or misappropriated. Furthermore, the laws of certain countries do not protect proprietary rights to the same extent as the laws of the United States, and we therefore may be unable to protect our proprietary technology in certain jurisdictions. Moreover, our platform incorporates software components licensed to the general public under open source software licenses. We obtain many components from software developed and released by contributors to independent open source components of our platform. Open source licenses grant licensees broad permissions to use, copy, modify, and redistribute our platform. As a result, open source development and licensing practices can limit the value of our software copyright assets.</w:t>
      </w:r>
    </w:p>
    <w:p>
      <w:pPr>
        <w:spacing w:after="0" w:line="16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As of January 31, 2020, we had been granted five U.S. patents, had 19 U.S. patent applications pending, and one notice of allowance. Our issued patents expire between January 2031 and December 2034. We have not applied for patents in foreign jurisdictions. We continually review our development efforts to assess the existence and patentability of new intellectual property. We pursue the registration of our domain names, trademarks, and service marks in the United States and in certain locations outside the United States.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Our current corporate headquarters, consisting of approximately 110,000 square feet of office space in San Francisco, California, is leased through October 2021. In February 2019, we entered into a new lease agreement, pursuant to which we will lease office space located in San Francisco, California consisting of 265,890 square feet for an initial term of 148 months commencing in April 2020. This new office building will house our new corporate headquarters, which we expect to begin occupying in the third quarter of fiscal 2021.</w:t>
      </w:r>
    </w:p>
    <w:p>
      <w:pPr>
        <w:spacing w:after="0" w:line="187" w:lineRule="exact"/>
        <w:rPr>
          <w:sz w:val="20"/>
          <w:szCs w:val="20"/>
          <w:color w:val="auto"/>
        </w:rPr>
      </w:pPr>
    </w:p>
    <w:p>
      <w:pPr>
        <w:ind w:right="780" w:firstLine="449"/>
        <w:spacing w:after="0" w:line="277" w:lineRule="auto"/>
        <w:rPr>
          <w:sz w:val="20"/>
          <w:szCs w:val="20"/>
          <w:color w:val="auto"/>
        </w:rPr>
      </w:pPr>
      <w:r>
        <w:rPr>
          <w:rFonts w:ascii="Arial" w:cs="Arial" w:eastAsia="Arial" w:hAnsi="Arial"/>
          <w:sz w:val="18"/>
          <w:szCs w:val="18"/>
          <w:color w:val="auto"/>
        </w:rPr>
        <w:t>We lease additional offices in multiple locations in the United States and internationally, including in Dublin, London, Munich, New York, Reykjavik, Sydney, Tokyo, and Vancouver.</w:t>
      </w:r>
    </w:p>
    <w:p>
      <w:pPr>
        <w:spacing w:after="0" w:line="170" w:lineRule="exact"/>
        <w:rPr>
          <w:sz w:val="20"/>
          <w:szCs w:val="20"/>
          <w:color w:val="auto"/>
        </w:rPr>
      </w:pPr>
    </w:p>
    <w:p>
      <w:pPr>
        <w:ind w:right="400" w:firstLine="449"/>
        <w:spacing w:after="0" w:line="263" w:lineRule="auto"/>
        <w:rPr>
          <w:sz w:val="20"/>
          <w:szCs w:val="20"/>
          <w:color w:val="auto"/>
        </w:rPr>
      </w:pPr>
      <w:r>
        <w:rPr>
          <w:rFonts w:ascii="Arial" w:cs="Arial" w:eastAsia="Arial" w:hAnsi="Arial"/>
          <w:sz w:val="18"/>
          <w:szCs w:val="18"/>
          <w:color w:val="auto"/>
        </w:rPr>
        <w:t>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jc w:val="both"/>
        <w:ind w:right="460" w:firstLine="449"/>
        <w:spacing w:after="0" w:line="263" w:lineRule="auto"/>
        <w:rPr>
          <w:sz w:val="20"/>
          <w:szCs w:val="20"/>
          <w:color w:val="auto"/>
        </w:rPr>
      </w:pPr>
      <w:r>
        <w:rPr>
          <w:rFonts w:ascii="Arial" w:cs="Arial" w:eastAsia="Arial" w:hAnsi="Arial"/>
          <w:sz w:val="18"/>
          <w:szCs w:val="18"/>
          <w:color w:val="auto"/>
        </w:rPr>
        <w:t>As of January 31, 2020, we had 701 full-time employees. Of these employees, 573 were in the United States and 128 were in our international locations. None of our employees is represented by a labor union or covered by collective bargaining agreements. We have not experienced any work stoppages. We consider our relationship with our employees to be good.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459" w:right="3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executive officers, key employees, and directors as of January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25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4380" w:type="dxa"/>
            <w:vAlign w:val="bottom"/>
            <w:gridSpan w:val="3"/>
          </w:tcPr>
          <w:p>
            <w:pPr>
              <w:ind w:left="160"/>
              <w:spacing w:after="0"/>
              <w:rPr>
                <w:sz w:val="20"/>
                <w:szCs w:val="20"/>
                <w:color w:val="auto"/>
              </w:rPr>
            </w:pPr>
            <w:r>
              <w:rPr>
                <w:rFonts w:ascii="Arial" w:cs="Arial" w:eastAsia="Arial" w:hAnsi="Arial"/>
                <w:sz w:val="14"/>
                <w:szCs w:val="14"/>
                <w:b w:val="1"/>
                <w:bCs w:val="1"/>
                <w:color w:val="auto"/>
              </w:rPr>
              <w:t>Position(s)</w:t>
            </w:r>
          </w:p>
        </w:tc>
      </w:tr>
      <w:tr>
        <w:trPr>
          <w:trHeight w:val="20"/>
        </w:trPr>
        <w:tc>
          <w:tcPr>
            <w:tcW w:w="3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24"/>
        </w:trPr>
        <w:tc>
          <w:tcPr>
            <w:tcW w:w="2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269"/>
        </w:trPr>
        <w:tc>
          <w:tcPr>
            <w:tcW w:w="2940" w:type="dxa"/>
            <w:vAlign w:val="bottom"/>
            <w:gridSpan w:val="2"/>
          </w:tcPr>
          <w:p>
            <w:pPr>
              <w:spacing w:after="0"/>
              <w:rPr>
                <w:sz w:val="20"/>
                <w:szCs w:val="20"/>
                <w:color w:val="auto"/>
              </w:rPr>
            </w:pPr>
            <w:r>
              <w:rPr>
                <w:rFonts w:ascii="Arial" w:cs="Arial" w:eastAsia="Arial" w:hAnsi="Arial"/>
                <w:sz w:val="18"/>
                <w:szCs w:val="18"/>
                <w:color w:val="auto"/>
              </w:rPr>
              <w:t>Dustin Moskovitz</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w w:val="90"/>
              </w:rPr>
              <w:t>Co-Founder, President, Chief Executive Officer, and Chair</w:t>
            </w: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Chris Farinacci</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Chief Operating Officer</w:t>
            </w: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Eleanor Lacey</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General Counsel and Corporate Secretary</w:t>
            </w: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Tim Wan</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Key Employees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Anna Binder</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Head of People</w:t>
            </w: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Alex Hood</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Head of Product</w:t>
            </w:r>
          </w:p>
        </w:tc>
      </w:tr>
      <w:tr>
        <w:trPr>
          <w:trHeight w:val="284"/>
        </w:trPr>
        <w:tc>
          <w:tcPr>
            <w:tcW w:w="2940" w:type="dxa"/>
            <w:vAlign w:val="bottom"/>
            <w:gridSpan w:val="2"/>
          </w:tcPr>
          <w:p>
            <w:pPr>
              <w:spacing w:after="0"/>
              <w:rPr>
                <w:sz w:val="20"/>
                <w:szCs w:val="20"/>
                <w:color w:val="auto"/>
              </w:rPr>
            </w:pPr>
            <w:r>
              <w:rPr>
                <w:rFonts w:ascii="Arial" w:cs="Arial" w:eastAsia="Arial" w:hAnsi="Arial"/>
                <w:sz w:val="18"/>
                <w:szCs w:val="18"/>
                <w:color w:val="auto"/>
              </w:rPr>
              <w:t>Oliver Jay</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Head of Sales and Business Development</w:t>
            </w: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Dave King</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Head of Marketing</w:t>
            </w: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Prashant Pandey</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Head of Engineering</w:t>
            </w:r>
          </w:p>
        </w:tc>
      </w:tr>
      <w:tr>
        <w:trPr>
          <w:trHeight w:val="324"/>
        </w:trPr>
        <w:tc>
          <w:tcPr>
            <w:tcW w:w="2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Sydney Carey</w:t>
            </w:r>
            <w:r>
              <w:rPr>
                <w:rFonts w:ascii="Arial" w:cs="Arial" w:eastAsia="Arial" w:hAnsi="Arial"/>
                <w:sz w:val="15"/>
                <w:szCs w:val="15"/>
                <w:color w:val="auto"/>
              </w:rPr>
              <w:t>(1)(2)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Matthew Cohler</w:t>
            </w:r>
            <w:r>
              <w:rPr>
                <w:rFonts w:ascii="Arial" w:cs="Arial" w:eastAsia="Arial" w:hAnsi="Arial"/>
                <w:sz w:val="15"/>
                <w:szCs w:val="15"/>
                <w:color w:val="auto"/>
              </w:rPr>
              <w:t>(1)(3)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Adam D’Angelo</w:t>
            </w:r>
            <w:r>
              <w:rPr>
                <w:rFonts w:ascii="Arial" w:cs="Arial" w:eastAsia="Arial" w:hAnsi="Arial"/>
                <w:sz w:val="15"/>
                <w:szCs w:val="15"/>
                <w:color w:val="auto"/>
              </w:rPr>
              <w:t>(2)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84"/>
        </w:trPr>
        <w:tc>
          <w:tcPr>
            <w:tcW w:w="2940" w:type="dxa"/>
            <w:vAlign w:val="bottom"/>
            <w:gridSpan w:val="2"/>
          </w:tcPr>
          <w:p>
            <w:pPr>
              <w:spacing w:after="0"/>
              <w:rPr>
                <w:sz w:val="20"/>
                <w:szCs w:val="20"/>
                <w:color w:val="auto"/>
              </w:rPr>
            </w:pPr>
            <w:r>
              <w:rPr>
                <w:rFonts w:ascii="Arial" w:cs="Arial" w:eastAsia="Arial" w:hAnsi="Arial"/>
                <w:sz w:val="18"/>
                <w:szCs w:val="18"/>
                <w:color w:val="auto"/>
              </w:rPr>
              <w:t>Lorrie Norrington</w:t>
            </w:r>
            <w:r>
              <w:rPr>
                <w:rFonts w:ascii="Arial" w:cs="Arial" w:eastAsia="Arial" w:hAnsi="Arial"/>
                <w:sz w:val="15"/>
                <w:szCs w:val="15"/>
                <w:color w:val="auto"/>
              </w:rPr>
              <w:t>(1)(3)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83"/>
        </w:trPr>
        <w:tc>
          <w:tcPr>
            <w:tcW w:w="2940" w:type="dxa"/>
            <w:vAlign w:val="bottom"/>
            <w:gridSpan w:val="2"/>
          </w:tcPr>
          <w:p>
            <w:pPr>
              <w:spacing w:after="0"/>
              <w:rPr>
                <w:sz w:val="20"/>
                <w:szCs w:val="20"/>
                <w:color w:val="auto"/>
              </w:rPr>
            </w:pPr>
            <w:r>
              <w:rPr>
                <w:rFonts w:ascii="Arial" w:cs="Arial" w:eastAsia="Arial" w:hAnsi="Arial"/>
                <w:sz w:val="18"/>
                <w:szCs w:val="18"/>
                <w:color w:val="auto"/>
              </w:rPr>
              <w:t>Anne Raimondi</w:t>
            </w:r>
            <w:r>
              <w:rPr>
                <w:rFonts w:ascii="Arial" w:cs="Arial" w:eastAsia="Arial" w:hAnsi="Arial"/>
                <w:sz w:val="15"/>
                <w:szCs w:val="15"/>
                <w:color w:val="auto"/>
              </w:rPr>
              <w:t>(2)(3)</w:t>
            </w: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84"/>
        </w:trPr>
        <w:tc>
          <w:tcPr>
            <w:tcW w:w="2940" w:type="dxa"/>
            <w:vAlign w:val="bottom"/>
            <w:gridSpan w:val="2"/>
          </w:tcPr>
          <w:p>
            <w:pPr>
              <w:spacing w:after="0"/>
              <w:rPr>
                <w:sz w:val="20"/>
                <w:szCs w:val="20"/>
                <w:color w:val="auto"/>
              </w:rPr>
            </w:pPr>
            <w:r>
              <w:rPr>
                <w:rFonts w:ascii="Arial" w:cs="Arial" w:eastAsia="Arial" w:hAnsi="Arial"/>
                <w:sz w:val="18"/>
                <w:szCs w:val="18"/>
                <w:color w:val="auto"/>
              </w:rPr>
              <w:t>Justin Rosenstein</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4380" w:type="dxa"/>
            <w:vAlign w:val="bottom"/>
            <w:gridSpan w:val="3"/>
          </w:tcPr>
          <w:p>
            <w:pPr>
              <w:ind w:left="160"/>
              <w:spacing w:after="0"/>
              <w:rPr>
                <w:sz w:val="20"/>
                <w:szCs w:val="20"/>
                <w:color w:val="auto"/>
              </w:rPr>
            </w:pPr>
            <w:r>
              <w:rPr>
                <w:rFonts w:ascii="Arial" w:cs="Arial" w:eastAsia="Arial" w:hAnsi="Arial"/>
                <w:sz w:val="18"/>
                <w:szCs w:val="18"/>
                <w:color w:val="auto"/>
              </w:rPr>
              <w:t>Co-Founder and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9"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22" w:lineRule="exact"/>
        <w:rPr>
          <w:rFonts w:ascii="Arial" w:cs="Arial" w:eastAsia="Arial" w:hAnsi="Arial"/>
          <w:sz w:val="16"/>
          <w:szCs w:val="16"/>
          <w:color w:val="auto"/>
        </w:rPr>
      </w:pPr>
    </w:p>
    <w:p>
      <w:pPr>
        <w:ind w:left="460" w:hanging="452"/>
        <w:spacing w:after="0"/>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8" w:lineRule="exact"/>
        <w:rPr>
          <w:rFonts w:ascii="Arial" w:cs="Arial" w:eastAsia="Arial" w:hAnsi="Arial"/>
          <w:sz w:val="16"/>
          <w:szCs w:val="16"/>
          <w:color w:val="auto"/>
        </w:rPr>
      </w:pPr>
    </w:p>
    <w:p>
      <w:pPr>
        <w:ind w:left="460" w:hanging="452"/>
        <w:spacing w:after="0"/>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1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Lead independent director.</w:t>
      </w:r>
    </w:p>
    <w:p>
      <w:pPr>
        <w:spacing w:after="0" w:line="33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b w:val="1"/>
          <w:bCs w:val="1"/>
          <w:i w:val="1"/>
          <w:iCs w:val="1"/>
          <w:color w:val="auto"/>
        </w:rPr>
        <w:t xml:space="preserve">Dustin Moskovitz </w:t>
      </w:r>
      <w:r>
        <w:rPr>
          <w:rFonts w:ascii="Arial" w:cs="Arial" w:eastAsia="Arial" w:hAnsi="Arial"/>
          <w:sz w:val="16"/>
          <w:szCs w:val="16"/>
          <w:color w:val="auto"/>
        </w:rPr>
        <w:t>co-founded Asana and has served as a member of our board of directors since December 2008, as our Chief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October 2010, as our President since February 2019, and as our Chair since December 2019. Previously, Mr. Moskovitz served as our Chief Financial Officer from February 2009 to January 2017, and as our Secretary from February 2009 to October 2017. Prior to Asana, Mr. Moskovitz co-founded Facebook, Inc., a social media and networking company, and from February 2004 to November 2008, he served in a variety of senior roles, including Chief Technology Officer and Vice President of Engineering. Mr. Moskovitz attended Harvard University where he studied economics.</w:t>
      </w:r>
    </w:p>
    <w:p>
      <w:pPr>
        <w:spacing w:after="0" w:line="161"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We believe that Mr. Moskovitz is qualified to serve as a member of our board of directors due to the perspective and experience he brings as our Chief Executive Officer and a co-founder and due to his extensive experience managing technology companies.</w:t>
      </w:r>
    </w:p>
    <w:p>
      <w:pPr>
        <w:spacing w:after="0" w:line="170"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b w:val="1"/>
          <w:bCs w:val="1"/>
          <w:i w:val="1"/>
          <w:iCs w:val="1"/>
          <w:color w:val="auto"/>
        </w:rPr>
        <w:t xml:space="preserve">Chris Farinacci </w:t>
      </w:r>
      <w:r>
        <w:rPr>
          <w:rFonts w:ascii="Arial" w:cs="Arial" w:eastAsia="Arial" w:hAnsi="Arial"/>
          <w:sz w:val="18"/>
          <w:szCs w:val="18"/>
          <w:color w:val="auto"/>
        </w:rPr>
        <w:t>has served as our Chief Operating Officer since September 2015. Prior to joining Asana, Mr. Farinacci served as Senior Director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for Google for Work and Google for Education, Alphabet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20" w:top="459" w:right="3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Inc.’s enterprise and education businesses, from January 2011 to September 2015. From May 2009 to December 2010, Mr. Farinacci served as Chief Marketing Officer at Hara Software, Inc., an environmental and energy management software company. Prior to that, he served as Vice President, Application Marketing at Oracle Corporation, a provider of business software, from October 2007 until April 2009. Mr. Farinacci holds a B.S. in mechanical engineering from The Ohio State University.</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b w:val="1"/>
          <w:bCs w:val="1"/>
          <w:i w:val="1"/>
          <w:iCs w:val="1"/>
          <w:color w:val="auto"/>
        </w:rPr>
        <w:t xml:space="preserve">Eleanor Lacey </w:t>
      </w:r>
      <w:r>
        <w:rPr>
          <w:rFonts w:ascii="Arial" w:cs="Arial" w:eastAsia="Arial" w:hAnsi="Arial"/>
          <w:sz w:val="18"/>
          <w:szCs w:val="18"/>
          <w:color w:val="auto"/>
        </w:rPr>
        <w:t>has served as our General Counsel since July 2019 and as our Corporate Secretary since September 2019. Prior to joining Asana,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November 2016 to July 2019, Ms. Lacey served as the Executive Vice President and Chief Legal Officer of Sophos, Inc., an affiliated entity of Sophos Group plc, a security software and hardware company, and Group Company Secretary at Sophos Group plc. From July 2012 to November 2016, Ms. Lacey led the legal department of SurveyMonkey, Inc., an affiliated entity of SVMK Inc., a SaaS survey company, serving as Vice President, General Counsel, and Corporate Secretary from July 2012 to August 2016, and as Senior Vice President, General Counsel, and Corporate Secretary from August 2016 to November 2016. Ms. Lacey holds a B.A. in English literature and history from the University of Massachusetts, Amherst and a J.D. from Yale Law School.</w:t>
      </w:r>
    </w:p>
    <w:p>
      <w:pPr>
        <w:spacing w:after="0" w:line="195"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b w:val="1"/>
          <w:bCs w:val="1"/>
          <w:i w:val="1"/>
          <w:iCs w:val="1"/>
          <w:color w:val="auto"/>
        </w:rPr>
        <w:t xml:space="preserve">Tim Wan </w:t>
      </w:r>
      <w:r>
        <w:rPr>
          <w:rFonts w:ascii="Arial" w:cs="Arial" w:eastAsia="Arial" w:hAnsi="Arial"/>
          <w:sz w:val="18"/>
          <w:szCs w:val="18"/>
          <w:color w:val="auto"/>
        </w:rPr>
        <w:t>has served as our Chief Financial Officer since January 2017, and he previously served as our Secretary from May 2018 to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Prior to joining Asana, Mr. Wan served as the Chief Financial Officer of Apigee Corporation, an API platform technology company, from March 2015 to January 2017. From June 2000 to February 2015, Mr. Wan served in a variety of senior roles at RealNetworks, Inc., a digital media and applications company, including as Senior Vice President, Chief Financial Officer, and Treasurer from April 2012 to February 2015, Vice President, Finance from September 2009 to April 2012, and various leadership positions from June 2000 to August 2009. Additionally, Mr. Wan has served on the board of directors of RealNetworks, Inc. since December 2019. Mr. Wan holds a B.A. in economics from the University of California, Los Angeles and an M.B.A. from the University of Southern California.</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Key Employees</w:t>
      </w:r>
    </w:p>
    <w:p>
      <w:pPr>
        <w:spacing w:after="0" w:line="117" w:lineRule="exact"/>
        <w:rPr>
          <w:sz w:val="20"/>
          <w:szCs w:val="20"/>
          <w:color w:val="auto"/>
        </w:rPr>
      </w:pPr>
    </w:p>
    <w:p>
      <w:pPr>
        <w:jc w:val="both"/>
        <w:ind w:right="160" w:firstLine="449"/>
        <w:spacing w:after="0" w:line="275" w:lineRule="auto"/>
        <w:rPr>
          <w:sz w:val="20"/>
          <w:szCs w:val="20"/>
          <w:color w:val="auto"/>
        </w:rPr>
      </w:pPr>
      <w:r>
        <w:rPr>
          <w:rFonts w:ascii="Arial" w:cs="Arial" w:eastAsia="Arial" w:hAnsi="Arial"/>
          <w:sz w:val="17"/>
          <w:szCs w:val="17"/>
          <w:b w:val="1"/>
          <w:bCs w:val="1"/>
          <w:i w:val="1"/>
          <w:iCs w:val="1"/>
          <w:color w:val="auto"/>
        </w:rPr>
        <w:t xml:space="preserve">Anna Binder </w:t>
      </w:r>
      <w:r>
        <w:rPr>
          <w:rFonts w:ascii="Arial" w:cs="Arial" w:eastAsia="Arial" w:hAnsi="Arial"/>
          <w:sz w:val="17"/>
          <w:szCs w:val="17"/>
          <w:color w:val="auto"/>
        </w:rPr>
        <w:t>has served as our Head of People since May 2016. Prior to joining Asana, Ms. Binder was the Vice President of People at MuleSoft,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a software company, from August 2014 to February 2016. From May 2010 to June 2013, Ms. Binder served as Vice President of Client Services and Human Resources at ReadyForce, Inc., an information technology and services company, and before that, as the VP, People at IronPort Systems, Inc., an email and web security products provider acquired by Cisco Systems in 2007. Ms. Binder holds a B.A. in political science from the University of Oregon and an M.B.A. from IESE Business School at the University of Navarra.</w:t>
      </w:r>
    </w:p>
    <w:p>
      <w:pPr>
        <w:spacing w:after="0" w:line="176"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b w:val="1"/>
          <w:bCs w:val="1"/>
          <w:i w:val="1"/>
          <w:iCs w:val="1"/>
          <w:color w:val="auto"/>
        </w:rPr>
        <w:t xml:space="preserve">Alex Hood </w:t>
      </w:r>
      <w:r>
        <w:rPr>
          <w:rFonts w:ascii="Arial" w:cs="Arial" w:eastAsia="Arial" w:hAnsi="Arial"/>
          <w:sz w:val="18"/>
          <w:szCs w:val="18"/>
          <w:color w:val="auto"/>
        </w:rPr>
        <w:t>has served as our Head of Product since January 2018. Prior to joining Asana, Mr. Hood served as the Vice President of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and Small Business Segment Leader at Intuit Inc., a business and financial software company, from January 2016 to October 2017. From March 2014 to December 2015, Mr. Hood served as the Vice President of Products at TubeMogul Inc., an advertising software company. Mr. Hood holds a B.A. in economics and international relations from American University and an M.B.A. from Haas School of Business at the University of California, Berkeley.</w:t>
      </w:r>
    </w:p>
    <w:p>
      <w:pPr>
        <w:spacing w:after="0" w:line="18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b w:val="1"/>
          <w:bCs w:val="1"/>
          <w:i w:val="1"/>
          <w:iCs w:val="1"/>
          <w:color w:val="auto"/>
        </w:rPr>
        <w:t xml:space="preserve">Oliver Jay </w:t>
      </w:r>
      <w:r>
        <w:rPr>
          <w:rFonts w:ascii="Arial" w:cs="Arial" w:eastAsia="Arial" w:hAnsi="Arial"/>
          <w:sz w:val="18"/>
          <w:szCs w:val="18"/>
          <w:color w:val="auto"/>
        </w:rPr>
        <w:t>has served as our Head of Sales and Business Development since November 2016. Prior to joining Asana, Mr. Jay was Head of APAC &amp;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LATAM at Dropbox, Inc., a file hosting service company, from January 2014 to April 2016, and Head of Online Sales &amp; Inside Sales from September 2012 to January 2014. From August 2011 to September 2012, Mr. Jay served as Sales &amp; Partnerships Principal at Scientific Conservation, Inc., an analytics software company. Mr. Jay holds a B.A. in Philosophy, Politics &amp; Economics from the University of Pennsylvania and an M.B.A. from Harvard Business School.</w:t>
      </w:r>
    </w:p>
    <w:p>
      <w:pPr>
        <w:spacing w:after="0" w:line="18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b w:val="1"/>
          <w:bCs w:val="1"/>
          <w:i w:val="1"/>
          <w:iCs w:val="1"/>
          <w:color w:val="auto"/>
        </w:rPr>
        <w:t xml:space="preserve">Dave King </w:t>
      </w:r>
      <w:r>
        <w:rPr>
          <w:rFonts w:ascii="Arial" w:cs="Arial" w:eastAsia="Arial" w:hAnsi="Arial"/>
          <w:sz w:val="18"/>
          <w:szCs w:val="18"/>
          <w:color w:val="auto"/>
        </w:rPr>
        <w:t>has served as our Head of Marketing since May 2017. Prior to joining Asana, Mr. King was Vice President of Marketing at Percolate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marketing software company, from October 2015 to January 2017.</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20" w:top="459" w:right="3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From February 2013 to February 2015, Mr. King led marketing teams at Highfive, Inc., a video conferencing company, and Salesforce.com, a customer relationship management software company, from June 2008 to October 2012. Mr. King holds a B.S. in psychology from Duke University and an M.B.A. from Stanford Graduate School of Business.</w:t>
      </w:r>
    </w:p>
    <w:p>
      <w:pPr>
        <w:spacing w:after="0" w:line="184"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b w:val="1"/>
          <w:bCs w:val="1"/>
          <w:i w:val="1"/>
          <w:iCs w:val="1"/>
          <w:color w:val="auto"/>
        </w:rPr>
        <w:t xml:space="preserve">Prashant Pandey </w:t>
      </w:r>
      <w:r>
        <w:rPr>
          <w:rFonts w:ascii="Arial" w:cs="Arial" w:eastAsia="Arial" w:hAnsi="Arial"/>
          <w:sz w:val="18"/>
          <w:szCs w:val="18"/>
          <w:color w:val="auto"/>
        </w:rPr>
        <w:t>has served as our Head of Engineering since July 2015, and previously as our Head of Infrastructure since May 2014.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Asana, Mr. Pandey served as an Engineering Leader at Amazon.com, Inc., a multinational technology company, from October 2012 to May 2014. Mr. Pandey holds a Bachelor of Technology in computer science from the Birla Institute of Technology and Science, Pilani and an M.S. in computer science from the University of Illinois, Urbana Champaign.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b w:val="1"/>
          <w:bCs w:val="1"/>
          <w:i w:val="1"/>
          <w:iCs w:val="1"/>
          <w:color w:val="auto"/>
        </w:rPr>
        <w:t xml:space="preserve">Sydney Carey </w:t>
      </w:r>
      <w:r>
        <w:rPr>
          <w:rFonts w:ascii="Arial" w:cs="Arial" w:eastAsia="Arial" w:hAnsi="Arial"/>
          <w:sz w:val="17"/>
          <w:szCs w:val="17"/>
          <w:color w:val="auto"/>
        </w:rPr>
        <w:t>has served as a member of our board of directors since July 2019. Since November 2018, Ms. Carey has served as the Chief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of Sumo Logic, Inc., a data analytics company. From December 2017 to October 2018, Ms. Carey served as the Chief Financial Officer for Duo Security, Inc., a software security company. From June 2016 to December 2017, she served as the Chief Financial Officer of Apttus Corporation, a business-to-business software company. From February 2015 to June 2016, she served as the Chief Financial Officer of ZScaler, Inc., an information security company, and from April 2013 to February 2015, she served as the Chief Financial Officer of MongoDB Inc., a software company. Ms. Carey served as a member of the board of directors of Bazaarvoice, Inc. from April 2012 to September 2017, and Proofpoint, Inc. from January 2014 to March 2015. Ms. Carey holds a B.A. in economics from Stanford University.</w:t>
      </w:r>
    </w:p>
    <w:p>
      <w:pPr>
        <w:spacing w:after="0" w:line="177" w:lineRule="exact"/>
        <w:rPr>
          <w:sz w:val="20"/>
          <w:szCs w:val="20"/>
          <w:color w:val="auto"/>
        </w:rPr>
      </w:pPr>
    </w:p>
    <w:p>
      <w:pPr>
        <w:ind w:right="40" w:firstLine="449"/>
        <w:spacing w:after="0" w:line="308" w:lineRule="auto"/>
        <w:rPr>
          <w:sz w:val="20"/>
          <w:szCs w:val="20"/>
          <w:color w:val="auto"/>
        </w:rPr>
      </w:pPr>
      <w:r>
        <w:rPr>
          <w:rFonts w:ascii="Arial" w:cs="Arial" w:eastAsia="Arial" w:hAnsi="Arial"/>
          <w:sz w:val="17"/>
          <w:szCs w:val="17"/>
          <w:color w:val="auto"/>
        </w:rPr>
        <w:t>We believe that Ms. Carey is qualified to serve as a member of our board of directors because of her extensive finance background, including service as a chief financial officer of several companies, her experience as a director of public companies, and her knowledge of our industry.</w:t>
      </w:r>
    </w:p>
    <w:p>
      <w:pPr>
        <w:spacing w:after="0" w:line="146"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b w:val="1"/>
          <w:bCs w:val="1"/>
          <w:i w:val="1"/>
          <w:iCs w:val="1"/>
          <w:color w:val="auto"/>
        </w:rPr>
        <w:t xml:space="preserve">Matthew Cohler </w:t>
      </w:r>
      <w:r>
        <w:rPr>
          <w:rFonts w:ascii="Arial" w:cs="Arial" w:eastAsia="Arial" w:hAnsi="Arial"/>
          <w:sz w:val="18"/>
          <w:szCs w:val="18"/>
          <w:color w:val="auto"/>
        </w:rPr>
        <w:t>has served as a member of our board of directors since November 2009. Mr. Cohler has been a Partner at Benchmark Capital,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 capital firm, since June 2008. Before Benchmark Capital, Mr. Cohler served as the Vice President of Product Management at Facebook, Inc., a social media and networking company, from 2005 to June 2008, and as the Vice President of LinkedIn Corporation, an internet software company, from 2003 to 2005. Mr. Cohler previously served on the boards of directors of Domo, Inc. from July 2011 to March 2019, and Uber Technologies, Inc. from June 2017 to July 2019. Mr. Cohler holds a B.A. in music from Yale University.</w:t>
      </w:r>
    </w:p>
    <w:p>
      <w:pPr>
        <w:spacing w:after="0" w:line="188"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We believe that Mr. Cohler is qualified to serve as a member of our board of directors because of his extensive experience as an executive and board member of many technology, high-growth, consumer and digital companies, his investment experience, and his knowledge of our industry.</w:t>
      </w:r>
    </w:p>
    <w:p>
      <w:pPr>
        <w:spacing w:after="0" w:line="124"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b w:val="1"/>
          <w:bCs w:val="1"/>
          <w:i w:val="1"/>
          <w:iCs w:val="1"/>
          <w:color w:val="auto"/>
        </w:rPr>
        <w:t xml:space="preserve">Adam D’Angelo </w:t>
      </w:r>
      <w:r>
        <w:rPr>
          <w:rFonts w:ascii="Arial" w:cs="Arial" w:eastAsia="Arial" w:hAnsi="Arial"/>
          <w:sz w:val="18"/>
          <w:szCs w:val="18"/>
          <w:color w:val="auto"/>
        </w:rPr>
        <w:t>has served as a member of our board of directors since December 2008. Mr. D’Angelo founded Quora Inc., a question-and-answer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website, and since June 2009, has served as its Chief Executive Officer. From June 2005 to June 2008, Mr. D’Angelo served in a variety of senior roles at Facebook, Inc., a social media and networking company, including Chief Technology Officer, from November 2006 to June 2008. Mr. D’Angelo holds a B.S. in computer science from the California Institute of Technology.</w:t>
      </w:r>
    </w:p>
    <w:p>
      <w:pPr>
        <w:spacing w:after="0" w:line="187" w:lineRule="exact"/>
        <w:rPr>
          <w:sz w:val="20"/>
          <w:szCs w:val="20"/>
          <w:color w:val="auto"/>
        </w:rPr>
      </w:pPr>
    </w:p>
    <w:p>
      <w:pPr>
        <w:ind w:right="260" w:firstLine="449"/>
        <w:spacing w:after="0" w:line="308" w:lineRule="auto"/>
        <w:rPr>
          <w:sz w:val="20"/>
          <w:szCs w:val="20"/>
          <w:color w:val="auto"/>
        </w:rPr>
      </w:pPr>
      <w:r>
        <w:rPr>
          <w:rFonts w:ascii="Arial" w:cs="Arial" w:eastAsia="Arial" w:hAnsi="Arial"/>
          <w:sz w:val="17"/>
          <w:szCs w:val="17"/>
          <w:color w:val="auto"/>
        </w:rPr>
        <w:t>We believe that Mr. D’Angelo is qualified to serve as a member of our board of directors because of his significant knowledge of and history with our company, his extensive experience as an executive and board member of technology companies, and his knowledge of our industry.</w:t>
      </w:r>
    </w:p>
    <w:p>
      <w:pPr>
        <w:spacing w:after="0" w:line="146" w:lineRule="exact"/>
        <w:rPr>
          <w:sz w:val="20"/>
          <w:szCs w:val="20"/>
          <w:color w:val="auto"/>
        </w:rPr>
      </w:pPr>
    </w:p>
    <w:p>
      <w:pPr>
        <w:jc w:val="both"/>
        <w:ind w:right="300" w:firstLine="449"/>
        <w:spacing w:after="0" w:line="263" w:lineRule="auto"/>
        <w:rPr>
          <w:sz w:val="20"/>
          <w:szCs w:val="20"/>
          <w:color w:val="auto"/>
        </w:rPr>
      </w:pPr>
      <w:r>
        <w:rPr>
          <w:rFonts w:ascii="Arial" w:cs="Arial" w:eastAsia="Arial" w:hAnsi="Arial"/>
          <w:sz w:val="18"/>
          <w:szCs w:val="18"/>
          <w:b w:val="1"/>
          <w:bCs w:val="1"/>
          <w:i w:val="1"/>
          <w:iCs w:val="1"/>
          <w:color w:val="auto"/>
        </w:rPr>
        <w:t xml:space="preserve">Lorrie Norrington </w:t>
      </w:r>
      <w:r>
        <w:rPr>
          <w:rFonts w:ascii="Arial" w:cs="Arial" w:eastAsia="Arial" w:hAnsi="Arial"/>
          <w:sz w:val="18"/>
          <w:szCs w:val="18"/>
          <w:color w:val="auto"/>
        </w:rPr>
        <w:t>has served as a member of our board of directors since July 2019. Ms. Norrington has served as an operating partner of Lead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Edge Capital LLC, a growth equity investment firm, since October 2012. Ms. Norrington previously served in several senior management roles at eBay Inc., a multinational e-commerce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459" w:right="3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publicly-traded company, from July 2006 to September 2010, including President of Global eBay Marketplaces, Chief Operating Officer of eBay Marketplaces, and President of eBay International. Ms. Norrington currently serves on the boards of directors of Autodesk, Inc., HubSpot, Inc., Colgate-Palmolive Company, and Eventbrite, Inc., and she also previously served on the board of directors of DirectTV, LLC from February 2011 to August 2015. Ms. Norrington holds a B.A. in business administration from the University of Maryland, College Park and an M.B.A. from Harvard University.</w:t>
      </w:r>
    </w:p>
    <w:p>
      <w:pPr>
        <w:spacing w:after="0" w:line="157"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auto"/>
        </w:rPr>
        <w:t>We believe that Ms. Norrington is qualified to serve as a member of our board of directors because of her extensive experience as an executive and board member of many publicly-traded companies, including her business acumen and extensive global expertise, and her knowledge of our industry.</w:t>
      </w:r>
    </w:p>
    <w:p>
      <w:pPr>
        <w:spacing w:after="0" w:line="124"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b w:val="1"/>
          <w:bCs w:val="1"/>
          <w:i w:val="1"/>
          <w:iCs w:val="1"/>
          <w:color w:val="auto"/>
        </w:rPr>
        <w:t xml:space="preserve">Anne Raimondi </w:t>
      </w:r>
      <w:r>
        <w:rPr>
          <w:rFonts w:ascii="Arial" w:cs="Arial" w:eastAsia="Arial" w:hAnsi="Arial"/>
          <w:sz w:val="16"/>
          <w:szCs w:val="16"/>
          <w:color w:val="auto"/>
        </w:rPr>
        <w:t>has served as a member of our board of directors since February 2019 and as our lead independent director since December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Raimondi has served as the Chief Customer Officer of Guru Technologies, Inc., a knowledge management solution company, since May 2019. Prior to joining Guru, from August 2013 to November 2017, Ms. Raimondi served several roles at Zendesk, Inc., a customer service platform provider, including as Senior Vice President, Strategy, Senior Vice President, Operations, and Vice President, People Operations. Ms. Raimondi has also served on the board of directors of several other companies, including SendGrid, Inc. from February 2018 to February 2019, and Bloc, Inc. from June 2017 to April 2018.</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Ms. Raimondi holds a B.A. in economics and sociology and an M.B.A. from Stanford University.</w:t>
      </w:r>
    </w:p>
    <w:p>
      <w:pPr>
        <w:spacing w:after="0" w:line="211"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We believe that Ms. Raimondi is qualified to serve as a member of our board of directors because of her extensive experience as an executive and board member of many technology, high-growth companies and her knowledge of our industry.</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b w:val="1"/>
          <w:bCs w:val="1"/>
          <w:i w:val="1"/>
          <w:iCs w:val="1"/>
          <w:color w:val="auto"/>
        </w:rPr>
        <w:t xml:space="preserve">Justin Rosenstein </w:t>
      </w:r>
      <w:r>
        <w:rPr>
          <w:rFonts w:ascii="Arial" w:cs="Arial" w:eastAsia="Arial" w:hAnsi="Arial"/>
          <w:sz w:val="18"/>
          <w:szCs w:val="18"/>
          <w:color w:val="auto"/>
        </w:rPr>
        <w:t>co-founded Asana and has served as a member of our board of directors since December 2008. Mr. Rosenstein served as our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from February 2009 to October 2010, and as our President from October 2010 to February 2019. Previously, Mr. Rosenstein served as an Engineer and Engineering Manager at Facebook, Inc., a social media and networking company, from May 2007 to November 2008, and as a Product Manager at Google Inc., a multinational technology company, from March 2004 to April 2007. Mr. Rosenstein holds a B.S. in mathematics from Stanford University.</w:t>
      </w:r>
    </w:p>
    <w:p>
      <w:pPr>
        <w:spacing w:after="0" w:line="188"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We believe that Mr. Rosenstein is qualified to serve as a member of our board of directors due to the perspective and experience he brings as our co-founder and former President.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right="280" w:firstLine="449"/>
        <w:spacing w:after="0" w:line="293" w:lineRule="auto"/>
        <w:rPr>
          <w:sz w:val="20"/>
          <w:szCs w:val="20"/>
          <w:color w:val="auto"/>
        </w:rPr>
      </w:pPr>
      <w:r>
        <w:rPr>
          <w:rFonts w:ascii="Arial" w:cs="Arial" w:eastAsia="Arial" w:hAnsi="Arial"/>
          <w:sz w:val="16"/>
          <w:szCs w:val="16"/>
          <w:color w:val="auto"/>
        </w:rPr>
        <w:t>Pursuant to a voting agreement, Messrs. Cohler, Moskovitz, Rosenstein, and D’Angelo have been designated to serve as members of our board of directors. Mr. Cohler was designated as a representative of holders of our Series A preferred stock, and Mr. Moskovitz and Mr. Rosenstein were each designated as a representative of the holders of the common stock and Series 1 preferred stock. Mr. D’Angelo was designated by unanimous consent of Mr. Moskovitz and Mr. Rosenstein. Mmes. Carey, Raimondi, and Norrington were appointed by our board of directors as independent directors. The provisions of the voting agreement by which the directors are currently elected will terminate, and there will be no contractual obligations regarding the election of our directors, upon the effectiveness of the registration statement of which this prospectus forms a part.</w:t>
      </w:r>
    </w:p>
    <w:p>
      <w:pPr>
        <w:spacing w:after="0" w:line="164" w:lineRule="exact"/>
        <w:rPr>
          <w:sz w:val="20"/>
          <w:szCs w:val="20"/>
          <w:color w:val="auto"/>
        </w:rPr>
      </w:pPr>
    </w:p>
    <w:p>
      <w:pPr>
        <w:jc w:val="both"/>
        <w:ind w:right="460" w:firstLine="449"/>
        <w:spacing w:after="0" w:line="263" w:lineRule="auto"/>
        <w:rPr>
          <w:sz w:val="20"/>
          <w:szCs w:val="20"/>
          <w:color w:val="auto"/>
        </w:rPr>
      </w:pPr>
      <w:r>
        <w:rPr>
          <w:rFonts w:ascii="Arial" w:cs="Arial" w:eastAsia="Arial" w:hAnsi="Arial"/>
          <w:sz w:val="18"/>
          <w:szCs w:val="18"/>
          <w:color w:val="auto"/>
        </w:rPr>
        <w:t>After the effectiveness of the registration statement of which this prospectus forms a part, the number of directors will be fixed by our board of directors, subject to the terms of our amended and restated bylaws and amended and restated certificate of incorporation that will become effective in connection with the effectiveness of the registration statement of which this prospectus forms a part.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320" w:top="459" w:right="3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firstLine="449"/>
        <w:spacing w:after="0" w:line="257"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In accordance with our amended and restated certificate of incorporation, which will be in effect upon the effectiveness of the registration statement of which this prospectus forms a part,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of stockholders following election. Our directors will be divided among the three classes as follows:</w:t>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240"/>
              <w:spacing w:after="0"/>
              <w:rPr>
                <w:sz w:val="20"/>
                <w:szCs w:val="20"/>
                <w:color w:val="auto"/>
              </w:rPr>
            </w:pPr>
            <w:r>
              <w:rPr>
                <w:rFonts w:ascii="Arial" w:cs="Arial" w:eastAsia="Arial" w:hAnsi="Arial"/>
                <w:sz w:val="18"/>
                <w:szCs w:val="18"/>
                <w:color w:val="auto"/>
              </w:rPr>
              <w:t>the Class I directors will be</w:t>
            </w:r>
          </w:p>
        </w:tc>
        <w:tc>
          <w:tcPr>
            <w:tcW w:w="7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 and</w:t>
            </w:r>
          </w:p>
        </w:tc>
        <w:tc>
          <w:tcPr>
            <w:tcW w:w="6660" w:type="dxa"/>
            <w:vAlign w:val="bottom"/>
          </w:tcPr>
          <w:p>
            <w:pPr>
              <w:ind w:left="560"/>
              <w:spacing w:after="0"/>
              <w:rPr>
                <w:sz w:val="20"/>
                <w:szCs w:val="20"/>
                <w:color w:val="auto"/>
              </w:rPr>
            </w:pPr>
            <w:r>
              <w:rPr>
                <w:rFonts w:ascii="Arial" w:cs="Arial" w:eastAsia="Arial" w:hAnsi="Arial"/>
                <w:sz w:val="18"/>
                <w:szCs w:val="18"/>
                <w:color w:val="auto"/>
                <w:w w:val="92"/>
              </w:rPr>
              <w:t>, and their terms will expire at our first annual meeting of stockholders following the</w:t>
            </w:r>
          </w:p>
        </w:tc>
      </w:tr>
      <w:tr>
        <w:trPr>
          <w:trHeight w:val="230"/>
        </w:trPr>
        <w:tc>
          <w:tcPr>
            <w:tcW w:w="300" w:type="dxa"/>
            <w:vAlign w:val="bottom"/>
          </w:tcPr>
          <w:p>
            <w:pPr>
              <w:spacing w:after="0"/>
              <w:rPr>
                <w:sz w:val="20"/>
                <w:szCs w:val="20"/>
                <w:color w:val="auto"/>
              </w:rPr>
            </w:pPr>
          </w:p>
        </w:tc>
        <w:tc>
          <w:tcPr>
            <w:tcW w:w="10460" w:type="dxa"/>
            <w:vAlign w:val="bottom"/>
            <w:gridSpan w:val="4"/>
          </w:tcPr>
          <w:p>
            <w:pPr>
              <w:ind w:left="240"/>
              <w:spacing w:after="0"/>
              <w:rPr>
                <w:sz w:val="20"/>
                <w:szCs w:val="20"/>
                <w:color w:val="auto"/>
              </w:rPr>
            </w:pPr>
            <w:r>
              <w:rPr>
                <w:rFonts w:ascii="Arial" w:cs="Arial" w:eastAsia="Arial" w:hAnsi="Arial"/>
                <w:sz w:val="18"/>
                <w:szCs w:val="18"/>
                <w:color w:val="auto"/>
              </w:rPr>
              <w:t>effectiveness of the registration statement of which this prospectus forms a part;</w:t>
            </w: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240"/>
              <w:spacing w:after="0"/>
              <w:rPr>
                <w:sz w:val="20"/>
                <w:szCs w:val="20"/>
                <w:color w:val="auto"/>
              </w:rPr>
            </w:pPr>
            <w:r>
              <w:rPr>
                <w:rFonts w:ascii="Arial" w:cs="Arial" w:eastAsia="Arial" w:hAnsi="Arial"/>
                <w:sz w:val="18"/>
                <w:szCs w:val="18"/>
                <w:color w:val="auto"/>
              </w:rPr>
              <w:t>the Class II directors will be</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and</w:t>
            </w:r>
          </w:p>
        </w:tc>
        <w:tc>
          <w:tcPr>
            <w:tcW w:w="7120" w:type="dxa"/>
            <w:vAlign w:val="bottom"/>
            <w:gridSpan w:val="2"/>
          </w:tcPr>
          <w:p>
            <w:pPr>
              <w:jc w:val="center"/>
              <w:spacing w:after="0"/>
              <w:rPr>
                <w:sz w:val="20"/>
                <w:szCs w:val="20"/>
                <w:color w:val="auto"/>
              </w:rPr>
            </w:pPr>
            <w:r>
              <w:rPr>
                <w:rFonts w:ascii="Arial" w:cs="Arial" w:eastAsia="Arial" w:hAnsi="Arial"/>
                <w:sz w:val="18"/>
                <w:szCs w:val="18"/>
                <w:color w:val="auto"/>
                <w:w w:val="91"/>
              </w:rPr>
              <w:t>, and their terms will expire at our second annual meeting of stockholders following the</w:t>
            </w:r>
          </w:p>
        </w:tc>
      </w:tr>
      <w:tr>
        <w:trPr>
          <w:trHeight w:val="230"/>
        </w:trPr>
        <w:tc>
          <w:tcPr>
            <w:tcW w:w="300" w:type="dxa"/>
            <w:vAlign w:val="bottom"/>
          </w:tcPr>
          <w:p>
            <w:pPr>
              <w:spacing w:after="0"/>
              <w:rPr>
                <w:sz w:val="20"/>
                <w:szCs w:val="20"/>
                <w:color w:val="auto"/>
              </w:rPr>
            </w:pPr>
          </w:p>
        </w:tc>
        <w:tc>
          <w:tcPr>
            <w:tcW w:w="10460" w:type="dxa"/>
            <w:vAlign w:val="bottom"/>
            <w:gridSpan w:val="4"/>
          </w:tcPr>
          <w:p>
            <w:pPr>
              <w:ind w:left="240"/>
              <w:spacing w:after="0"/>
              <w:rPr>
                <w:sz w:val="20"/>
                <w:szCs w:val="20"/>
                <w:color w:val="auto"/>
              </w:rPr>
            </w:pPr>
            <w:r>
              <w:rPr>
                <w:rFonts w:ascii="Arial" w:cs="Arial" w:eastAsia="Arial" w:hAnsi="Arial"/>
                <w:sz w:val="18"/>
                <w:szCs w:val="18"/>
                <w:color w:val="auto"/>
              </w:rPr>
              <w:t>effectiveness of the registration statement of which this prospectus forms a part; and</w:t>
            </w: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240"/>
              <w:spacing w:after="0"/>
              <w:rPr>
                <w:sz w:val="20"/>
                <w:szCs w:val="20"/>
                <w:color w:val="auto"/>
              </w:rPr>
            </w:pPr>
            <w:r>
              <w:rPr>
                <w:rFonts w:ascii="Arial" w:cs="Arial" w:eastAsia="Arial" w:hAnsi="Arial"/>
                <w:sz w:val="18"/>
                <w:szCs w:val="18"/>
                <w:color w:val="auto"/>
              </w:rPr>
              <w:t>the Class III directors will be</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and</w:t>
            </w:r>
          </w:p>
        </w:tc>
        <w:tc>
          <w:tcPr>
            <w:tcW w:w="460" w:type="dxa"/>
            <w:vAlign w:val="bottom"/>
          </w:tcPr>
          <w:p>
            <w:pPr>
              <w:spacing w:after="0"/>
              <w:rPr>
                <w:sz w:val="24"/>
                <w:szCs w:val="24"/>
                <w:color w:val="auto"/>
              </w:rPr>
            </w:pPr>
          </w:p>
        </w:tc>
        <w:tc>
          <w:tcPr>
            <w:tcW w:w="6660" w:type="dxa"/>
            <w:vAlign w:val="bottom"/>
          </w:tcPr>
          <w:p>
            <w:pPr>
              <w:jc w:val="center"/>
              <w:ind w:right="390"/>
              <w:spacing w:after="0"/>
              <w:rPr>
                <w:sz w:val="20"/>
                <w:szCs w:val="20"/>
                <w:color w:val="auto"/>
              </w:rPr>
            </w:pPr>
            <w:r>
              <w:rPr>
                <w:rFonts w:ascii="Arial" w:cs="Arial" w:eastAsia="Arial" w:hAnsi="Arial"/>
                <w:sz w:val="18"/>
                <w:szCs w:val="18"/>
                <w:color w:val="auto"/>
                <w:w w:val="92"/>
              </w:rPr>
              <w:t>, and their terms will expire at our third annual meeting of stockholders following the</w:t>
            </w:r>
          </w:p>
        </w:tc>
      </w:tr>
      <w:tr>
        <w:trPr>
          <w:trHeight w:val="230"/>
        </w:trPr>
        <w:tc>
          <w:tcPr>
            <w:tcW w:w="300" w:type="dxa"/>
            <w:vAlign w:val="bottom"/>
          </w:tcPr>
          <w:p>
            <w:pPr>
              <w:spacing w:after="0"/>
              <w:rPr>
                <w:sz w:val="20"/>
                <w:szCs w:val="20"/>
                <w:color w:val="auto"/>
              </w:rPr>
            </w:pPr>
          </w:p>
        </w:tc>
        <w:tc>
          <w:tcPr>
            <w:tcW w:w="10460" w:type="dxa"/>
            <w:vAlign w:val="bottom"/>
            <w:gridSpan w:val="4"/>
          </w:tcPr>
          <w:p>
            <w:pPr>
              <w:ind w:left="240"/>
              <w:spacing w:after="0"/>
              <w:rPr>
                <w:sz w:val="20"/>
                <w:szCs w:val="20"/>
                <w:color w:val="auto"/>
              </w:rPr>
            </w:pPr>
            <w:r>
              <w:rPr>
                <w:rFonts w:ascii="Arial" w:cs="Arial" w:eastAsia="Arial" w:hAnsi="Arial"/>
                <w:sz w:val="18"/>
                <w:szCs w:val="18"/>
                <w:color w:val="auto"/>
              </w:rPr>
              <w:t>effectiveness of the registration statement of which this prospectus forms a part.</w:t>
            </w:r>
          </w:p>
        </w:tc>
      </w:tr>
    </w:tbl>
    <w:p>
      <w:pPr>
        <w:spacing w:after="0" w:line="202"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121"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 her background, employment, and affiliations, our board of directors has determined that Mmes. Carey, Norrington, and Raimondi and Messrs. Cohler and D’Angelo do not have relationships that would interfere with the exercise of independent judgment in carrying out the responsibilities of a director and</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that each of these directors is “independent” as that term is defined under the listing standards of the .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audit committee consists of Sydney Carey, Matthew Cohler, and Lorrie Norrington. Our board of directors has determined that each member of</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audit committee satisfies the independence requirements under the listing standards of the and Rule 10A-3(b)(1) of the Exchange Act. The chair of our audit committee is Ms. Carey. Our board of directors has determined that Ms. Carey is an “audit committee financial expert” within the meaning of SEC regulations. Each member of our audit committee can read and understand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fundamental financial statements in accordance with applicable requirements. In arriving at these determinations, our board of directors has examined each audit committee member’s scope of experience or the nature of his or her employment.</w:t>
      </w:r>
    </w:p>
    <w:p>
      <w:pPr>
        <w:spacing w:after="0" w:line="170"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89" w:lineRule="exact"/>
        <w:rPr>
          <w:sz w:val="20"/>
          <w:szCs w:val="20"/>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30" w:lineRule="exact"/>
        <w:rPr>
          <w:rFonts w:ascii="Arial" w:cs="Arial" w:eastAsia="Arial" w:hAnsi="Arial"/>
          <w:sz w:val="18"/>
          <w:szCs w:val="18"/>
          <w:color w:val="auto"/>
        </w:rPr>
      </w:pPr>
    </w:p>
    <w:p>
      <w:pPr>
        <w:ind w:left="1000" w:right="340" w:hanging="547"/>
        <w:spacing w:after="0" w:line="342"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our internal control procedures, any material issues with such procedures, and any steps taken to deal with such issues when required by applicable law; and</w:t>
      </w:r>
    </w:p>
    <w:p>
      <w:pPr>
        <w:spacing w:after="0" w:line="29" w:lineRule="exact"/>
        <w:rPr>
          <w:rFonts w:ascii="Arial" w:cs="Arial" w:eastAsia="Arial" w:hAnsi="Arial"/>
          <w:sz w:val="16"/>
          <w:szCs w:val="16"/>
          <w:color w:val="auto"/>
        </w:rPr>
      </w:pPr>
    </w:p>
    <w:p>
      <w:pPr>
        <w:ind w:left="1000" w:right="500" w:hanging="547"/>
        <w:spacing w:after="0" w:line="277"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approving or, as required, pre-approving audit and permissible non-audit services to be performed by the independent registered public accounting firm.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audit committee will operate under a written charter, to be effective prior to the effectiveness of the registration statement of which this</w:t>
      </w:r>
    </w:p>
    <w:p>
      <w:pPr>
        <w:spacing w:after="0" w:line="35"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prospectus forms a part, that satisfies the applicable listing standards of the</w:t>
      </w:r>
      <w:r>
        <w:rPr>
          <w:sz w:val="20"/>
          <w:szCs w:val="20"/>
          <w:color w:val="auto"/>
        </w:rPr>
        <w:tab/>
      </w:r>
      <w:r>
        <w:rPr>
          <w:rFonts w:ascii="Arial" w:cs="Arial" w:eastAsia="Arial" w:hAnsi="Arial"/>
          <w:sz w:val="18"/>
          <w:szCs w:val="18"/>
          <w:color w:val="auto"/>
        </w:rPr>
        <w:t>.</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compensation committee consists of Sydney Carey, Adam D’Angelo, and Anne Raimondi. The chair of our compensation committee is</w:t>
      </w:r>
    </w:p>
    <w:p>
      <w:pPr>
        <w:spacing w:after="0" w:line="35" w:lineRule="exact"/>
        <w:rPr>
          <w:sz w:val="20"/>
          <w:szCs w:val="20"/>
          <w:color w:val="auto"/>
        </w:rPr>
      </w:pPr>
    </w:p>
    <w:p>
      <w:pPr>
        <w:ind w:left="540" w:right="220" w:hanging="539"/>
        <w:spacing w:after="0" w:line="260" w:lineRule="auto"/>
        <w:rPr>
          <w:sz w:val="20"/>
          <w:szCs w:val="20"/>
          <w:color w:val="auto"/>
        </w:rPr>
      </w:pPr>
      <w:r>
        <w:rPr>
          <w:rFonts w:ascii="Arial" w:cs="Arial" w:eastAsia="Arial" w:hAnsi="Arial"/>
          <w:sz w:val="18"/>
          <w:szCs w:val="18"/>
          <w:color w:val="auto"/>
        </w:rPr>
        <w:t>Ms. Raimondi. Our board of directors has determined that each member of the compensation committee is independent under the listing standards of the , and a “non-employee director” as defined in Rule 16b-3 promulgated under the Exchange Act.</w:t>
      </w:r>
    </w:p>
    <w:p>
      <w:pPr>
        <w:spacing w:after="0" w:line="185"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Specific responsibilities of our compensation committee include:</w:t>
      </w:r>
    </w:p>
    <w:p>
      <w:pPr>
        <w:spacing w:after="0" w:line="131" w:lineRule="exact"/>
        <w:rPr>
          <w:sz w:val="20"/>
          <w:szCs w:val="20"/>
          <w:color w:val="auto"/>
        </w:rPr>
      </w:pPr>
    </w:p>
    <w:p>
      <w:pPr>
        <w:ind w:left="1000" w:right="4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approving, and determining, or recommending to our board of directors, the compensation of our chief executive officer and other executive officers;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30" w:lineRule="exact"/>
        <w:rPr>
          <w:rFonts w:ascii="Arial" w:cs="Arial" w:eastAsia="Arial" w:hAnsi="Arial"/>
          <w:sz w:val="18"/>
          <w:szCs w:val="18"/>
          <w:color w:val="auto"/>
        </w:rPr>
      </w:pPr>
    </w:p>
    <w:p>
      <w:pPr>
        <w:ind w:left="1000" w:right="300" w:hanging="547"/>
        <w:spacing w:after="0" w:line="263"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adopting, amending, and terminating, or recommending to our board of directors, incentive compensation and equity plans, severance agreements, profit sharing plans, bonus plans, change-of-control protections, and any other compensatory arrangements for our executive officers and other senior management;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20" w:top="459" w:right="3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00" w:hanging="547"/>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compensation committee will operate under a written charter, to be effective prior to the effectiveness of the registration statement of which this</w:t>
      </w:r>
    </w:p>
    <w:p>
      <w:pPr>
        <w:spacing w:after="0" w:line="46" w:lineRule="exact"/>
        <w:rPr>
          <w:sz w:val="20"/>
          <w:szCs w:val="20"/>
          <w:color w:val="auto"/>
        </w:rPr>
      </w:pPr>
    </w:p>
    <w:p>
      <w:pPr>
        <w:spacing w:after="0"/>
        <w:tabs>
          <w:tab w:leader="none" w:pos="6320" w:val="left"/>
        </w:tabs>
        <w:rPr>
          <w:sz w:val="20"/>
          <w:szCs w:val="20"/>
          <w:color w:val="auto"/>
        </w:rPr>
      </w:pPr>
      <w:r>
        <w:rPr>
          <w:rFonts w:ascii="Arial" w:cs="Arial" w:eastAsia="Arial" w:hAnsi="Arial"/>
          <w:sz w:val="18"/>
          <w:szCs w:val="18"/>
          <w:color w:val="auto"/>
        </w:rPr>
        <w:t>prospectus forms a part, that satisfies the applicable listing standards of the</w:t>
      </w:r>
      <w:r>
        <w:rPr>
          <w:sz w:val="20"/>
          <w:szCs w:val="20"/>
          <w:color w:val="auto"/>
        </w:rPr>
        <w:tab/>
      </w:r>
      <w:r>
        <w:rPr>
          <w:rFonts w:ascii="Arial" w:cs="Arial" w:eastAsia="Arial" w:hAnsi="Arial"/>
          <w:sz w:val="18"/>
          <w:szCs w:val="18"/>
          <w:color w:val="auto"/>
        </w:rPr>
        <w:t>.</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right="540" w:firstLine="449"/>
        <w:spacing w:after="0" w:line="291" w:lineRule="auto"/>
        <w:rPr>
          <w:sz w:val="20"/>
          <w:szCs w:val="20"/>
          <w:color w:val="auto"/>
        </w:rPr>
      </w:pPr>
      <w:r>
        <w:rPr>
          <w:rFonts w:ascii="Arial" w:cs="Arial" w:eastAsia="Arial" w:hAnsi="Arial"/>
          <w:sz w:val="16"/>
          <w:szCs w:val="16"/>
          <w:color w:val="auto"/>
        </w:rPr>
        <w:t>Our nominating and corporate governance committee consists of Matthew Cohler, Lorrie Norrington, and Anne Raimondi. The chair of our nominating and governance committee is Ms. Norrington. Our board of directors has determined that each member of the nominating and corporate</w:t>
      </w:r>
    </w:p>
    <w:p>
      <w:pPr>
        <w:spacing w:after="0"/>
        <w:tabs>
          <w:tab w:leader="none" w:pos="6000" w:val="left"/>
        </w:tabs>
        <w:rPr>
          <w:sz w:val="20"/>
          <w:szCs w:val="20"/>
          <w:color w:val="auto"/>
        </w:rPr>
      </w:pPr>
      <w:r>
        <w:rPr>
          <w:rFonts w:ascii="Arial" w:cs="Arial" w:eastAsia="Arial" w:hAnsi="Arial"/>
          <w:sz w:val="18"/>
          <w:szCs w:val="18"/>
          <w:color w:val="auto"/>
        </w:rPr>
        <w:t>governance committee is independent under the listing standards of the</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31" w:lineRule="exact"/>
        <w:rPr>
          <w:sz w:val="20"/>
          <w:szCs w:val="20"/>
          <w:color w:val="auto"/>
        </w:rPr>
      </w:pPr>
    </w:p>
    <w:p>
      <w:pPr>
        <w:ind w:left="1000" w:right="580" w:hanging="547"/>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leadership of our board of directors and its committees;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reviewing, developing, and making recommendations to our board of directors regarding corporate governance guidelines and matters; and</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nominating and corporate governance committee will operate under a written charter, to be effective prior to the effectiveness of the registration</w:t>
      </w:r>
    </w:p>
    <w:p>
      <w:pPr>
        <w:spacing w:after="0" w:line="46" w:lineRule="exact"/>
        <w:rPr>
          <w:sz w:val="20"/>
          <w:szCs w:val="20"/>
          <w:color w:val="auto"/>
        </w:rPr>
      </w:pPr>
    </w:p>
    <w:p>
      <w:pPr>
        <w:spacing w:after="0"/>
        <w:tabs>
          <w:tab w:leader="none" w:pos="8040" w:val="left"/>
        </w:tabs>
        <w:rPr>
          <w:sz w:val="20"/>
          <w:szCs w:val="20"/>
          <w:color w:val="auto"/>
        </w:rPr>
      </w:pPr>
      <w:r>
        <w:rPr>
          <w:rFonts w:ascii="Arial" w:cs="Arial" w:eastAsia="Arial" w:hAnsi="Arial"/>
          <w:sz w:val="18"/>
          <w:szCs w:val="18"/>
          <w:color w:val="auto"/>
        </w:rPr>
        <w:t>statement of which this prospectus forms a part, that satisfies the applicable listing standards of the</w:t>
      </w:r>
      <w:r>
        <w:rPr>
          <w:sz w:val="20"/>
          <w:szCs w:val="20"/>
          <w:color w:val="auto"/>
        </w:rPr>
        <w:tab/>
      </w:r>
      <w:r>
        <w:rPr>
          <w:rFonts w:ascii="Arial" w:cs="Arial" w:eastAsia="Arial" w:hAnsi="Arial"/>
          <w:sz w:val="18"/>
          <w:szCs w:val="18"/>
          <w:color w:val="auto"/>
        </w:rPr>
        <w: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140" w:firstLine="449"/>
        <w:spacing w:after="0" w:line="286" w:lineRule="auto"/>
        <w:rPr>
          <w:sz w:val="20"/>
          <w:szCs w:val="20"/>
          <w:color w:val="auto"/>
        </w:rPr>
      </w:pPr>
      <w:r>
        <w:rPr>
          <w:rFonts w:ascii="Arial" w:cs="Arial" w:eastAsia="Arial" w:hAnsi="Arial"/>
          <w:sz w:val="16"/>
          <w:szCs w:val="16"/>
          <w:color w:val="auto"/>
        </w:rPr>
        <w:t>We have adopted a code of business conduct and ethics that will apply to our directors, officers, and employees, including our principal executive officer, principal financial officer, principal accounting officer or controller, or persons performing similar functions. Upon the effectiveness of the registration statement of which this prospectus forms a part, our code of business conduct and ethics will be available under the Corporate Governance section of our website at https://asana.com. In addition, we intend to post on our website all disclosures that are required by law or the listing standards of</w:t>
      </w:r>
    </w:p>
    <w:p>
      <w:pPr>
        <w:spacing w:after="0" w:line="1"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the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The following table sets forth information regarding the compensation earned or paid to our directors during fiscal 2020, other than Dustin Moskovitz, our Chief Executive Officer, and Justin Rosenstein, who served as our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320" w:top="459" w:right="3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President until February 2019. Neither Mr. Moskovitz nor Mr. Rosenstein received any additional compensation for service as a director for fiscal 2020. The compensation of Mr. Moskovitz, as a named executive officer, is set forth below under “Executive Compensation—Summary Compensation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020" w:type="dxa"/>
            <w:vAlign w:val="bottom"/>
            <w:vMerge w:val="restart"/>
          </w:tcPr>
          <w:p>
            <w:pPr>
              <w:spacing w:after="0"/>
              <w:rPr>
                <w:sz w:val="14"/>
                <w:szCs w:val="14"/>
                <w:color w:val="auto"/>
              </w:rPr>
            </w:pPr>
          </w:p>
        </w:tc>
        <w:tc>
          <w:tcPr>
            <w:tcW w:w="39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200" w:type="dxa"/>
            <w:vAlign w:val="bottom"/>
          </w:tcPr>
          <w:p>
            <w:pPr>
              <w:spacing w:after="0"/>
              <w:rPr>
                <w:sz w:val="14"/>
                <w:szCs w:val="14"/>
                <w:color w:val="auto"/>
              </w:rPr>
            </w:pPr>
          </w:p>
        </w:tc>
        <w:tc>
          <w:tcPr>
            <w:tcW w:w="8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020" w:type="dxa"/>
            <w:vAlign w:val="bottom"/>
            <w:vMerge w:val="continue"/>
          </w:tcPr>
          <w:p>
            <w:pPr>
              <w:spacing w:after="0"/>
              <w:rPr>
                <w:sz w:val="15"/>
                <w:szCs w:val="15"/>
                <w:color w:val="auto"/>
              </w:rPr>
            </w:pPr>
          </w:p>
        </w:tc>
        <w:tc>
          <w:tcPr>
            <w:tcW w:w="3900" w:type="dxa"/>
            <w:vAlign w:val="bottom"/>
          </w:tcPr>
          <w:p>
            <w:pPr>
              <w:spacing w:after="0"/>
              <w:rPr>
                <w:sz w:val="15"/>
                <w:szCs w:val="15"/>
                <w:color w:val="auto"/>
              </w:rPr>
            </w:pPr>
          </w:p>
        </w:tc>
        <w:tc>
          <w:tcPr>
            <w:tcW w:w="9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2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Sydney Carey</w:t>
            </w:r>
            <w:r>
              <w:rPr>
                <w:rFonts w:ascii="Arial" w:cs="Arial" w:eastAsia="Arial" w:hAnsi="Arial"/>
                <w:sz w:val="15"/>
                <w:szCs w:val="15"/>
                <w:color w:val="auto"/>
              </w:rPr>
              <w:t>(2)</w:t>
            </w:r>
          </w:p>
        </w:tc>
        <w:tc>
          <w:tcPr>
            <w:tcW w:w="39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$ 217,061</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$ 217,061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Matthew Cohler</w:t>
            </w:r>
          </w:p>
        </w:tc>
        <w:tc>
          <w:tcPr>
            <w:tcW w:w="39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D’Angelo</w:t>
            </w:r>
          </w:p>
        </w:tc>
        <w:tc>
          <w:tcPr>
            <w:tcW w:w="39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Colin le Duc</w:t>
            </w:r>
            <w:r>
              <w:rPr>
                <w:rFonts w:ascii="Arial" w:cs="Arial" w:eastAsia="Arial" w:hAnsi="Arial"/>
                <w:sz w:val="15"/>
                <w:szCs w:val="15"/>
                <w:color w:val="auto"/>
              </w:rPr>
              <w:t>(3)</w:t>
            </w:r>
          </w:p>
        </w:tc>
        <w:tc>
          <w:tcPr>
            <w:tcW w:w="39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Anne Raimondi</w:t>
            </w:r>
            <w:r>
              <w:rPr>
                <w:rFonts w:ascii="Arial" w:cs="Arial" w:eastAsia="Arial" w:hAnsi="Arial"/>
                <w:sz w:val="15"/>
                <w:szCs w:val="15"/>
                <w:color w:val="auto"/>
              </w:rPr>
              <w:t>(4)</w:t>
            </w:r>
          </w:p>
        </w:tc>
        <w:tc>
          <w:tcPr>
            <w:tcW w:w="4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106,340</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106,340</w:t>
            </w:r>
          </w:p>
        </w:tc>
        <w:tc>
          <w:tcPr>
            <w:tcW w:w="0" w:type="dxa"/>
            <w:vAlign w:val="bottom"/>
          </w:tcPr>
          <w:p>
            <w:pPr>
              <w:spacing w:after="0"/>
              <w:rPr>
                <w:sz w:val="1"/>
                <w:szCs w:val="1"/>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Lorrie Norrington</w:t>
            </w:r>
            <w:r>
              <w:rPr>
                <w:rFonts w:ascii="Arial" w:cs="Arial" w:eastAsia="Arial" w:hAnsi="Arial"/>
                <w:sz w:val="15"/>
                <w:szCs w:val="15"/>
                <w:color w:val="auto"/>
              </w:rPr>
              <w:t>(5)</w:t>
            </w:r>
          </w:p>
        </w:tc>
        <w:tc>
          <w:tcPr>
            <w:tcW w:w="4820" w:type="dxa"/>
            <w:vAlign w:val="bottom"/>
            <w:gridSpan w:val="3"/>
          </w:tcPr>
          <w:p>
            <w:pPr>
              <w:jc w:val="right"/>
              <w:ind w:right="180"/>
              <w:spacing w:after="0"/>
              <w:rPr>
                <w:sz w:val="20"/>
                <w:szCs w:val="20"/>
                <w:color w:val="auto"/>
              </w:rPr>
            </w:pPr>
            <w:r>
              <w:rPr>
                <w:rFonts w:ascii="Arial" w:cs="Arial" w:eastAsia="Arial" w:hAnsi="Arial"/>
                <w:sz w:val="18"/>
                <w:szCs w:val="18"/>
                <w:color w:val="auto"/>
              </w:rPr>
              <w:t>217,061</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217,061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886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36" w:lineRule="exact"/>
        <w:rPr>
          <w:sz w:val="20"/>
          <w:szCs w:val="20"/>
          <w:color w:val="auto"/>
        </w:rPr>
      </w:pPr>
    </w:p>
    <w:p>
      <w:pPr>
        <w:ind w:left="460" w:right="80" w:hanging="452"/>
        <w:spacing w:after="0" w:line="242" w:lineRule="auto"/>
        <w:tabs>
          <w:tab w:leader="none" w:pos="460"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amounts reported in these columns represent the aggregate grant-date fair value of equity awards granted under our Amended and Restated 2012 Stock Plan to our directors during fiscal 2020, as computed in accordance with FASB ASC Topic 718. The assumptions used in calculating the dollar amount recognized for financial statement reporting purposes of the equity awards reported in these columns are set forth in Note 9 to our consolidated financial statements included elsewhere in this prospectus. Note that the amounts reported in these columns reflect the accounting cost for these equity awards and do not correspond to the actual economic value that may be received by our directors from the equity awards. As of January 31, 2020, none of our non-employee directors held any equity awards. The option awards granted to Mmes. Carey, Raimondi, and Norrington in fiscal 2020 were early exercised.</w:t>
      </w:r>
    </w:p>
    <w:p>
      <w:pPr>
        <w:ind w:left="460" w:hanging="452"/>
        <w:spacing w:after="0" w:line="221" w:lineRule="auto"/>
        <w:tabs>
          <w:tab w:leader="none" w:pos="4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Ms. Carey was appointed to our board of directors in July 2019.</w:t>
      </w:r>
    </w:p>
    <w:p>
      <w:pPr>
        <w:ind w:left="460" w:hanging="452"/>
        <w:spacing w:after="0" w:line="221" w:lineRule="auto"/>
        <w:tabs>
          <w:tab w:leader="none" w:pos="4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Mr. le Duc resigned from our board of directors in November 2019.</w:t>
      </w:r>
    </w:p>
    <w:p>
      <w:pPr>
        <w:ind w:left="460" w:hanging="452"/>
        <w:spacing w:after="0" w:line="221" w:lineRule="auto"/>
        <w:tabs>
          <w:tab w:leader="none" w:pos="4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Ms. Raimondi was appointed to our board of directors in February 2019.</w:t>
      </w:r>
    </w:p>
    <w:p>
      <w:pPr>
        <w:ind w:left="460" w:hanging="452"/>
        <w:spacing w:after="0"/>
        <w:tabs>
          <w:tab w:leader="none" w:pos="4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Ms. Norrington was appointed to our board of directors in July 2019.</w:t>
      </w:r>
    </w:p>
    <w:p>
      <w:pPr>
        <w:spacing w:after="0" w:line="196" w:lineRule="exact"/>
        <w:rPr>
          <w:sz w:val="20"/>
          <w:szCs w:val="20"/>
          <w:color w:val="auto"/>
        </w:rPr>
      </w:pPr>
    </w:p>
    <w:p>
      <w:pPr>
        <w:ind w:right="200" w:firstLine="449"/>
        <w:spacing w:after="0" w:line="293" w:lineRule="auto"/>
        <w:rPr>
          <w:sz w:val="20"/>
          <w:szCs w:val="20"/>
          <w:color w:val="auto"/>
        </w:rPr>
      </w:pPr>
      <w:r>
        <w:rPr>
          <w:rFonts w:ascii="Arial" w:cs="Arial" w:eastAsia="Arial" w:hAnsi="Arial"/>
          <w:sz w:val="16"/>
          <w:szCs w:val="16"/>
          <w:color w:val="auto"/>
        </w:rPr>
        <w:t>Prior to the effectiveness of the registration statement of which this prospectus forms a part, we did not have a formal policy with respect to compensation payable to our non-employee directors for service as directors. From time to time, we have granted equity awards to certain non-employee directors for their service on our board of directors. In connection with the appointment of each of Ms. Carey, Ms. Norrington, and Ms. Raimondi to our board of directors, we granted the director an early-exercisable option to purchase 50,000 shares of our common stock with an exercise price per share equal to $4.02, $4.02, and $3.70, respectively. Each option vests and becomes exercisable in equal monthly installments over four years from the date the director was appointed to our board in equal monthly installments, subject to continued service on our board of directors.</w:t>
      </w:r>
    </w:p>
    <w:p>
      <w:pPr>
        <w:spacing w:after="0" w:line="164"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We also have reimbursed our directors for expenses associated with attending meetings of our board of directors and committees of our board of directors. We anticipate adopting a formal compensation policy for our non-employee directors to provide cash and equity compensation to them following effectiveness of the registration statement of which this prospectus forms a part.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jc w:val="both"/>
        <w:ind w:right="460" w:firstLine="449"/>
        <w:spacing w:after="0" w:line="342" w:lineRule="auto"/>
        <w:rPr>
          <w:sz w:val="20"/>
          <w:szCs w:val="20"/>
          <w:color w:val="auto"/>
        </w:rPr>
      </w:pPr>
      <w:r>
        <w:rPr>
          <w:rFonts w:ascii="Arial" w:cs="Arial" w:eastAsia="Arial" w:hAnsi="Arial"/>
          <w:sz w:val="16"/>
          <w:szCs w:val="16"/>
          <w:color w:val="auto"/>
        </w:rPr>
        <w:t>The following table provides information concerning all plan and non-plan compensation awarded to, earned by, or paid to our Chief Executive Officer and each of our two other most highly compensated officers, whom we collectively refer to as “named executive officers,” during fiscal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Option</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6"/>
              </w:rPr>
              <w:t>Non-Equity</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3120" w:type="dxa"/>
            <w:vAlign w:val="bottom"/>
            <w:vMerge w:val="restart"/>
          </w:tcPr>
          <w:p>
            <w:pPr>
              <w:spacing w:after="0"/>
              <w:rPr>
                <w:sz w:val="12"/>
                <w:szCs w:val="12"/>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1"/>
              </w:rPr>
              <w:t>Fiscal Year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rPr>
              <w:t>Incentive Plan</w:t>
            </w:r>
          </w:p>
        </w:tc>
        <w:tc>
          <w:tcPr>
            <w:tcW w:w="1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780" w:type="dxa"/>
            <w:vAlign w:val="bottom"/>
            <w:tcBorders>
              <w:bottom w:val="single" w:sz="8" w:color="auto"/>
            </w:tcBorders>
            <w:vMerge w:val="continue"/>
          </w:tcPr>
          <w:p>
            <w:pPr>
              <w:spacing w:after="0"/>
              <w:rPr>
                <w:sz w:val="15"/>
                <w:szCs w:val="15"/>
                <w:color w:val="auto"/>
              </w:rPr>
            </w:pPr>
          </w:p>
        </w:tc>
        <w:tc>
          <w:tcPr>
            <w:tcW w:w="312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(1)</w:t>
            </w:r>
          </w:p>
        </w:tc>
        <w:tc>
          <w:tcPr>
            <w:tcW w:w="260" w:type="dxa"/>
            <w:vAlign w:val="bottom"/>
          </w:tcPr>
          <w:p>
            <w:pPr>
              <w:spacing w:after="0"/>
              <w:rPr>
                <w:sz w:val="15"/>
                <w:szCs w:val="15"/>
                <w:color w:val="auto"/>
              </w:rPr>
            </w:pPr>
          </w:p>
        </w:tc>
        <w:tc>
          <w:tcPr>
            <w:tcW w:w="1600" w:type="dxa"/>
            <w:vAlign w:val="bottom"/>
            <w:gridSpan w:val="3"/>
          </w:tcPr>
          <w:p>
            <w:pPr>
              <w:jc w:val="right"/>
              <w:ind w:right="560"/>
              <w:spacing w:after="0" w:line="158" w:lineRule="exact"/>
              <w:rPr>
                <w:sz w:val="20"/>
                <w:szCs w:val="20"/>
                <w:color w:val="auto"/>
              </w:rPr>
            </w:pPr>
            <w:r>
              <w:rPr>
                <w:rFonts w:ascii="Arial" w:cs="Arial" w:eastAsia="Arial" w:hAnsi="Arial"/>
                <w:sz w:val="14"/>
                <w:szCs w:val="14"/>
                <w:b w:val="1"/>
                <w:bCs w:val="1"/>
                <w:color w:val="auto"/>
                <w:w w:val="91"/>
              </w:rPr>
              <w:t>Compensation</w:t>
            </w:r>
            <w:r>
              <w:rPr>
                <w:rFonts w:ascii="Arial" w:cs="Arial" w:eastAsia="Arial" w:hAnsi="Arial"/>
                <w:sz w:val="12"/>
                <w:szCs w:val="12"/>
                <w:b w:val="1"/>
                <w:bCs w:val="1"/>
                <w:color w:val="auto"/>
                <w:w w:val="91"/>
              </w:rPr>
              <w:t>(2)</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Dustin Moskovitz</w:t>
            </w: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2020</w:t>
            </w: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Chief Executive Officer, and Chair</w:t>
            </w:r>
          </w:p>
        </w:tc>
        <w:tc>
          <w:tcPr>
            <w:tcW w:w="7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4900" w:type="dxa"/>
            <w:vAlign w:val="bottom"/>
            <w:gridSpan w:val="2"/>
          </w:tcPr>
          <w:p>
            <w:pPr>
              <w:spacing w:after="0"/>
              <w:rPr>
                <w:sz w:val="20"/>
                <w:szCs w:val="20"/>
                <w:color w:val="auto"/>
              </w:rPr>
            </w:pPr>
            <w:r>
              <w:rPr>
                <w:rFonts w:ascii="Arial" w:cs="Arial" w:eastAsia="Arial" w:hAnsi="Arial"/>
                <w:sz w:val="18"/>
                <w:szCs w:val="18"/>
                <w:color w:val="auto"/>
              </w:rPr>
              <w:t>Eleanor Lacey</w:t>
            </w:r>
            <w:r>
              <w:rPr>
                <w:rFonts w:ascii="Arial" w:cs="Arial" w:eastAsia="Arial" w:hAnsi="Arial"/>
                <w:sz w:val="15"/>
                <w:szCs w:val="15"/>
                <w:color w:val="auto"/>
              </w:rPr>
              <w:t>(3)</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900" w:type="dxa"/>
            <w:vAlign w:val="bottom"/>
            <w:gridSpan w:val="2"/>
          </w:tcPr>
          <w:p>
            <w:pPr>
              <w:ind w:left="180"/>
              <w:spacing w:after="0"/>
              <w:rPr>
                <w:sz w:val="20"/>
                <w:szCs w:val="20"/>
                <w:color w:val="auto"/>
              </w:rPr>
            </w:pPr>
            <w:r>
              <w:rPr>
                <w:rFonts w:ascii="Arial" w:cs="Arial" w:eastAsia="Arial" w:hAnsi="Arial"/>
                <w:sz w:val="18"/>
                <w:szCs w:val="18"/>
                <w:i w:val="1"/>
                <w:iCs w:val="1"/>
                <w:color w:val="auto"/>
              </w:rPr>
              <w:t>General Counsel and Corporate Secretary</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185,769</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1,736,491</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62,754</w:t>
            </w:r>
          </w:p>
        </w:tc>
        <w:tc>
          <w:tcPr>
            <w:tcW w:w="1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1,985,014</w:t>
            </w: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Tim Wan</w:t>
            </w: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333,333</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414,424</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180,600</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928,357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0" w:lineRule="exact"/>
        <w:rPr>
          <w:sz w:val="20"/>
          <w:szCs w:val="20"/>
          <w:color w:val="auto"/>
        </w:rPr>
      </w:pPr>
    </w:p>
    <w:p>
      <w:pPr>
        <w:ind w:left="460" w:right="20" w:hanging="452"/>
        <w:spacing w:after="0" w:line="224" w:lineRule="auto"/>
        <w:tabs>
          <w:tab w:leader="none" w:pos="4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the stock options granted under our Amended and Restated 2012 Stock Plan to our named executive officers in fiscal 2020 as computed in accordance with FASB ASC Topic 718. The assumptions used in calculating the dollar amount recognized for financial statement reporting purposes of the equity awards reported in this column are set forth in Note 9 to our consolidated financial statements included elsewhere in this prospectus. Note that the amounts reported in this column reflect the accounting value for these equity awards and may not correspond to the actual economic value that may be received by our named executive officers from the equity awards.</w:t>
      </w:r>
    </w:p>
    <w:p>
      <w:pPr>
        <w:spacing w:after="0" w:line="3" w:lineRule="exact"/>
        <w:rPr>
          <w:rFonts w:ascii="Arial" w:cs="Arial" w:eastAsia="Arial" w:hAnsi="Arial"/>
          <w:sz w:val="14"/>
          <w:szCs w:val="14"/>
          <w:color w:val="auto"/>
        </w:rPr>
      </w:pPr>
    </w:p>
    <w:p>
      <w:pPr>
        <w:ind w:left="460" w:right="500" w:hanging="452"/>
        <w:spacing w:after="0" w:line="221" w:lineRule="auto"/>
        <w:tabs>
          <w:tab w:leader="none" w:pos="4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amount disclosed represents the executive officer’s total bonuses earned for fiscal 2020, as described below under “—Non-Equity Incentive Plan Compensation—Fiscal 2020 Executive Incentive Plan.”</w:t>
      </w:r>
    </w:p>
    <w:p>
      <w:pPr>
        <w:ind w:left="460" w:hanging="452"/>
        <w:spacing w:after="0"/>
        <w:tabs>
          <w:tab w:leader="none" w:pos="4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Ms. Lacey commenced employment with us in July 2019.</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Year-End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regarding the outstanding stock option awards held by our named executive officers as of January 31,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4"/>
          </w:tcPr>
          <w:p>
            <w:pPr>
              <w:ind w:left="420"/>
              <w:spacing w:after="0"/>
              <w:rPr>
                <w:sz w:val="20"/>
                <w:szCs w:val="20"/>
                <w:color w:val="auto"/>
              </w:rPr>
            </w:pPr>
            <w:r>
              <w:rPr>
                <w:rFonts w:ascii="Arial" w:cs="Arial" w:eastAsia="Arial" w:hAnsi="Arial"/>
                <w:sz w:val="14"/>
                <w:szCs w:val="14"/>
                <w:b w:val="1"/>
                <w:bCs w:val="1"/>
                <w:color w:val="auto"/>
              </w:rPr>
              <w:t>Option Awards</w:t>
            </w: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320" w:type="dxa"/>
            <w:vAlign w:val="bottom"/>
            <w:tcBorders>
              <w:top w:val="single" w:sz="8" w:color="auto"/>
            </w:tcBorders>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2"/>
              </w:rPr>
              <w:t>Number of Securities</w:t>
            </w:r>
          </w:p>
        </w:tc>
        <w:tc>
          <w:tcPr>
            <w:tcW w:w="5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32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Number of</w:t>
            </w:r>
          </w:p>
        </w:tc>
        <w:tc>
          <w:tcPr>
            <w:tcW w:w="76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3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320" w:type="dxa"/>
            <w:vAlign w:val="bottom"/>
            <w:gridSpan w:val="4"/>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32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w w:val="89"/>
              </w:rPr>
              <w:t>Shares that</w:t>
            </w:r>
          </w:p>
        </w:tc>
        <w:tc>
          <w:tcPr>
            <w:tcW w:w="760" w:type="dxa"/>
            <w:vAlign w:val="bottom"/>
            <w:gridSpan w:val="2"/>
            <w:vMerge w:val="restart"/>
          </w:tcPr>
          <w:p>
            <w:pPr>
              <w:jc w:val="right"/>
              <w:ind w:right="60"/>
              <w:spacing w:after="0" w:line="149" w:lineRule="exact"/>
              <w:rPr>
                <w:sz w:val="20"/>
                <w:szCs w:val="20"/>
                <w:color w:val="auto"/>
              </w:rPr>
            </w:pPr>
            <w:r>
              <w:rPr>
                <w:rFonts w:ascii="Arial" w:cs="Arial" w:eastAsia="Arial" w:hAnsi="Arial"/>
                <w:sz w:val="14"/>
                <w:szCs w:val="14"/>
                <w:b w:val="1"/>
                <w:bCs w:val="1"/>
                <w:color w:val="auto"/>
                <w:w w:val="89"/>
              </w:rPr>
              <w:t>Shares that</w:t>
            </w: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3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980" w:type="dxa"/>
            <w:vAlign w:val="bottom"/>
            <w:gridSpan w:val="3"/>
            <w:vMerge w:val="restart"/>
          </w:tcPr>
          <w:p>
            <w:pPr>
              <w:jc w:val="center"/>
              <w:spacing w:after="0" w:line="151" w:lineRule="exact"/>
              <w:rPr>
                <w:sz w:val="20"/>
                <w:szCs w:val="20"/>
                <w:color w:val="auto"/>
              </w:rPr>
            </w:pPr>
            <w:r>
              <w:rPr>
                <w:rFonts w:ascii="Arial" w:cs="Arial" w:eastAsia="Arial" w:hAnsi="Arial"/>
                <w:sz w:val="14"/>
                <w:szCs w:val="14"/>
                <w:b w:val="1"/>
                <w:bCs w:val="1"/>
                <w:color w:val="auto"/>
                <w:w w:val="90"/>
              </w:rPr>
              <w:t>Options</w:t>
            </w: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300" w:type="dxa"/>
            <w:vAlign w:val="bottom"/>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rPr>
              <w:t>Grant</w:t>
            </w:r>
          </w:p>
        </w:tc>
        <w:tc>
          <w:tcPr>
            <w:tcW w:w="1980" w:type="dxa"/>
            <w:vAlign w:val="bottom"/>
            <w:tcBorders>
              <w:bottom w:val="single" w:sz="8" w:color="auto"/>
            </w:tcBorders>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6"/>
              </w:rPr>
              <w:t>Exercise</w:t>
            </w:r>
          </w:p>
        </w:tc>
        <w:tc>
          <w:tcPr>
            <w:tcW w:w="116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Expiration</w:t>
            </w:r>
          </w:p>
        </w:tc>
        <w:tc>
          <w:tcPr>
            <w:tcW w:w="10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5"/>
              </w:rPr>
              <w:t>Have Not</w:t>
            </w:r>
          </w:p>
        </w:tc>
        <w:tc>
          <w:tcPr>
            <w:tcW w:w="76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4"/>
              </w:rPr>
              <w:t>Name</w:t>
            </w:r>
          </w:p>
        </w:tc>
        <w:tc>
          <w:tcPr>
            <w:tcW w:w="3400" w:type="dxa"/>
            <w:vAlign w:val="bottom"/>
          </w:tcPr>
          <w:p>
            <w:pPr>
              <w:spacing w:after="0"/>
              <w:rPr>
                <w:sz w:val="15"/>
                <w:szCs w:val="15"/>
                <w:color w:val="auto"/>
              </w:rPr>
            </w:pPr>
          </w:p>
        </w:tc>
        <w:tc>
          <w:tcPr>
            <w:tcW w:w="1300" w:type="dxa"/>
            <w:vAlign w:val="bottom"/>
            <w:gridSpan w:val="2"/>
          </w:tcPr>
          <w:p>
            <w:pPr>
              <w:jc w:val="right"/>
              <w:ind w:right="700"/>
              <w:spacing w:after="0" w:line="158" w:lineRule="exact"/>
              <w:rPr>
                <w:sz w:val="20"/>
                <w:szCs w:val="20"/>
                <w:color w:val="auto"/>
              </w:rPr>
            </w:pPr>
            <w:r>
              <w:rPr>
                <w:rFonts w:ascii="Arial" w:cs="Arial" w:eastAsia="Arial" w:hAnsi="Arial"/>
                <w:sz w:val="14"/>
                <w:szCs w:val="14"/>
                <w:b w:val="1"/>
                <w:bCs w:val="1"/>
                <w:color w:val="auto"/>
              </w:rPr>
              <w:t>Date</w:t>
            </w:r>
            <w:r>
              <w:rPr>
                <w:rFonts w:ascii="Arial" w:cs="Arial" w:eastAsia="Arial" w:hAnsi="Arial"/>
                <w:sz w:val="12"/>
                <w:szCs w:val="12"/>
                <w:b w:val="1"/>
                <w:bCs w:val="1"/>
                <w:color w:val="auto"/>
              </w:rPr>
              <w:t>(1)</w:t>
            </w:r>
          </w:p>
        </w:tc>
        <w:tc>
          <w:tcPr>
            <w:tcW w:w="112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2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Unexercisable</w:t>
            </w:r>
          </w:p>
        </w:tc>
        <w:tc>
          <w:tcPr>
            <w:tcW w:w="8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Price</w:t>
            </w:r>
          </w:p>
        </w:tc>
        <w:tc>
          <w:tcPr>
            <w:tcW w:w="116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rPr>
              <w:t>Date</w:t>
            </w:r>
          </w:p>
        </w:tc>
        <w:tc>
          <w:tcPr>
            <w:tcW w:w="10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7"/>
              </w:rPr>
              <w:t>Vested</w:t>
            </w:r>
          </w:p>
        </w:tc>
        <w:tc>
          <w:tcPr>
            <w:tcW w:w="7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203"/>
        </w:trPr>
        <w:tc>
          <w:tcPr>
            <w:tcW w:w="3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Dustin Moskovitz</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80"/>
              <w:spacing w:after="0" w:line="203" w:lineRule="exact"/>
              <w:rPr>
                <w:sz w:val="20"/>
                <w:szCs w:val="20"/>
                <w:color w:val="auto"/>
              </w:rPr>
            </w:pPr>
            <w:r>
              <w:rPr>
                <w:rFonts w:ascii="Arial" w:cs="Arial" w:eastAsia="Arial" w:hAnsi="Arial"/>
                <w:sz w:val="18"/>
                <w:szCs w:val="18"/>
                <w:color w:val="auto"/>
                <w:w w:val="88"/>
              </w:rPr>
              <w:t>—</w:t>
            </w: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Eleanor Lacey</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7/30/2019</w:t>
            </w:r>
            <w:r>
              <w:rPr>
                <w:rFonts w:ascii="Arial" w:cs="Arial" w:eastAsia="Arial" w:hAnsi="Arial"/>
                <w:sz w:val="15"/>
                <w:szCs w:val="15"/>
                <w:color w:val="auto"/>
                <w:w w:val="95"/>
              </w:rPr>
              <w:t>(2)</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375,000</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  4.02</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7/29/2029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 Wan</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5/3/2017</w:t>
            </w:r>
            <w:r>
              <w:rPr>
                <w:rFonts w:ascii="Arial" w:cs="Arial" w:eastAsia="Arial" w:hAnsi="Arial"/>
                <w:sz w:val="15"/>
                <w:szCs w:val="15"/>
                <w:color w:val="auto"/>
              </w:rPr>
              <w:t>(3)</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1,145,899</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5/02/2027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4/29/2019</w:t>
            </w:r>
            <w:r>
              <w:rPr>
                <w:rFonts w:ascii="Arial" w:cs="Arial" w:eastAsia="Arial" w:hAnsi="Arial"/>
                <w:sz w:val="15"/>
                <w:szCs w:val="15"/>
                <w:color w:val="auto"/>
                <w:w w:val="95"/>
              </w:rPr>
              <w:t>(4)</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189,660</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3.70</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4/28/2029</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886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36" w:lineRule="exact"/>
        <w:rPr>
          <w:sz w:val="20"/>
          <w:szCs w:val="20"/>
          <w:color w:val="auto"/>
        </w:rPr>
      </w:pPr>
    </w:p>
    <w:p>
      <w:pPr>
        <w:ind w:left="460" w:hanging="452"/>
        <w:spacing w:after="0" w:line="244" w:lineRule="auto"/>
        <w:tabs>
          <w:tab w:leader="none" w:pos="4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All of the outstanding equity awards were granted under our Amended and Restated 2012 Stock Plan and are subject to acceleration of vesting as described in “—Employment, Severance, and Change of Control Arrangements” below. All of the outstanding stock options were immediately exercisable as of the date of grant, with any unvested shares acquired on exercise subject to a right of repurchase in favor of us at the original exercise price that lapses in accordance with the vesting schedule of the related option.</w:t>
      </w:r>
    </w:p>
    <w:p>
      <w:pPr>
        <w:spacing w:after="0" w:line="1" w:lineRule="exact"/>
        <w:rPr>
          <w:rFonts w:ascii="Arial" w:cs="Arial" w:eastAsia="Arial" w:hAnsi="Arial"/>
          <w:sz w:val="13"/>
          <w:szCs w:val="13"/>
          <w:color w:val="auto"/>
        </w:rPr>
      </w:pPr>
    </w:p>
    <w:p>
      <w:pPr>
        <w:ind w:left="460" w:right="140" w:hanging="452"/>
        <w:spacing w:after="0" w:line="221" w:lineRule="auto"/>
        <w:tabs>
          <w:tab w:leader="none" w:pos="4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1/4th of the shares subject to the option will vest on July 22, 2020 and an additional 1/48th of the shares will vest monthly thereafter, subject to continued service to us as of each vesting date.</w:t>
      </w:r>
    </w:p>
    <w:p>
      <w:pPr>
        <w:ind w:left="460" w:right="300" w:hanging="452"/>
        <w:spacing w:after="0" w:line="221" w:lineRule="auto"/>
        <w:tabs>
          <w:tab w:leader="none" w:pos="4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1/4th of the shares subject to the option vested on January 17, 2018 and an additional 1/48th of the shares vest monthly thereafter, subject to continued service to us as of each vesting date.</w:t>
      </w:r>
    </w:p>
    <w:p>
      <w:pPr>
        <w:ind w:left="460" w:right="260" w:hanging="452"/>
        <w:spacing w:after="0" w:line="237" w:lineRule="auto"/>
        <w:tabs>
          <w:tab w:leader="none" w:pos="4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1/24th of the shares subject to the option will vest on March 1, 2021 and an additional 1/24th of the shares vest monthly thereafter, subject to continued service to us as of each vesting date.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45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Severance, and Change of Control Arrangements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Offer Letters and Employment Agreements</w:t>
      </w:r>
    </w:p>
    <w:p>
      <w:pPr>
        <w:spacing w:after="0" w:line="117"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We have entered into offer letters with Mr. Moskovitz, Ms. Lacey, and Mr. Wan. Each of these arrangements provide for at-will employment and generally include the named executive officer’s initial base salary and, in the cases of Ms. Lacey and Mr. Wan, an indication of eligibility for an annual cash incentive award opportunity, and an initial grant of equity awards. In addition, each of our named executive officers has executed our standard confidential information and invention assignment agreement. As discussed in “—Potential Payments upon Termination or Change of Control” below, under our offer letters with Ms. Lacey and Mr. Wan, we have agreed to accelerate the vesting of equity awards if we terminate her or him, as the case may be, under certain circumstances.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Payments upon Termination or Change of Control</w:t>
      </w:r>
    </w:p>
    <w:p>
      <w:pPr>
        <w:spacing w:after="0" w:line="11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Our offer letters with Ms. Lacey and Mr. Wan provide that if the executive officer is terminated (A) upon the consummation of, or within 12 months following, a change in control transaction and (B) by us without cause or as a result of her or his resignation for good reason, then 100% of the then unvested shares subject to her or his equity awards will immediately vest and become exercisable upon the date of such termination; provided, however, if our successor or any affiliate of such successor does not agree to assume, substitute, or otherwise continue the equity awards at the time of a change in control transaction, and she or he does not voluntarily resign in connection with such change in control transaction without good reason, then 100% of the then unvested shares subject to her or his equity awards shall fully vest and become exercisable immediately prior to, and contingent upon, the consummation of such change in control transaction.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2020 Executive Incentive Plan</w:t>
      </w:r>
    </w:p>
    <w:p>
      <w:pPr>
        <w:spacing w:after="0" w:line="117" w:lineRule="exact"/>
        <w:rPr>
          <w:sz w:val="20"/>
          <w:szCs w:val="20"/>
          <w:color w:val="auto"/>
        </w:rPr>
      </w:pPr>
    </w:p>
    <w:p>
      <w:pPr>
        <w:ind w:right="280" w:firstLine="449"/>
        <w:spacing w:after="0" w:line="275" w:lineRule="auto"/>
        <w:rPr>
          <w:sz w:val="20"/>
          <w:szCs w:val="20"/>
          <w:color w:val="auto"/>
        </w:rPr>
      </w:pPr>
      <w:r>
        <w:rPr>
          <w:rFonts w:ascii="Arial" w:cs="Arial" w:eastAsia="Arial" w:hAnsi="Arial"/>
          <w:sz w:val="17"/>
          <w:szCs w:val="17"/>
          <w:color w:val="auto"/>
        </w:rPr>
        <w:t>We approved an executive incentive plan for our executive leadership team for fiscal 2020, or the FY2020 Bonus Plan. Each participant in the FY2020 Bonus Plan was eligible to receive cash bonuses based on the achievement of certain financial and strategic goals. In addition, to be eligible to earn a bonus under the FY2020 Bonus Plan, a participant had to remain continually employed by, and in good standing with, us through the applicable bonus payment date. Ms. Lacey, our General Counsel and Corporate Secretary, and Mr. Wan, our Chief Financial Officer, participated in our FY2020 Bonus Plan and earned cash bonuses totaling $62,754 and $180,600, respectively, thereunder.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principal features of our equity plans are summarized below. These summaries are qualified in their entirety by reference to the actual text of the plans, which are filed as exhibits to the registration statement of which this prospectus is a part.</w:t>
      </w:r>
    </w:p>
    <w:p>
      <w:pPr>
        <w:spacing w:after="0" w:line="278"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r>
              <w:rPr>
                <w:rFonts w:ascii="Arial" w:cs="Arial" w:eastAsia="Arial" w:hAnsi="Arial"/>
                <w:sz w:val="18"/>
                <w:szCs w:val="18"/>
                <w:b w:val="1"/>
                <w:bCs w:val="1"/>
                <w:i w:val="1"/>
                <w:iCs w:val="1"/>
                <w:color w:val="auto"/>
              </w:rPr>
              <w:t>2020 Equity Incentive Plan</w:t>
            </w:r>
          </w:p>
        </w:tc>
        <w:tc>
          <w:tcPr>
            <w:tcW w:w="15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24"/>
        </w:trPr>
        <w:tc>
          <w:tcPr>
            <w:tcW w:w="8320" w:type="dxa"/>
            <w:vAlign w:val="bottom"/>
          </w:tcPr>
          <w:p>
            <w:pPr>
              <w:spacing w:after="0"/>
              <w:rPr>
                <w:sz w:val="20"/>
                <w:szCs w:val="20"/>
                <w:color w:val="auto"/>
              </w:rPr>
            </w:pPr>
            <w:r>
              <w:rPr>
                <w:rFonts w:ascii="Arial" w:cs="Arial" w:eastAsia="Arial" w:hAnsi="Arial"/>
                <w:sz w:val="18"/>
                <w:szCs w:val="18"/>
                <w:color w:val="auto"/>
                <w:w w:val="93"/>
              </w:rPr>
              <w:t>Our board of directors adopted and our stockholders approved our 2020 Equity Incentive Plan, or 2020 Plan, on</w:t>
            </w:r>
          </w:p>
        </w:tc>
        <w:tc>
          <w:tcPr>
            <w:tcW w:w="1520" w:type="dxa"/>
            <w:vAlign w:val="bottom"/>
          </w:tcPr>
          <w:p>
            <w:pPr>
              <w:ind w:left="260"/>
              <w:spacing w:after="0"/>
              <w:rPr>
                <w:sz w:val="20"/>
                <w:szCs w:val="20"/>
                <w:color w:val="auto"/>
              </w:rPr>
            </w:pPr>
            <w:r>
              <w:rPr>
                <w:rFonts w:ascii="Arial" w:cs="Arial" w:eastAsia="Arial" w:hAnsi="Arial"/>
                <w:sz w:val="18"/>
                <w:szCs w:val="18"/>
                <w:color w:val="auto"/>
              </w:rPr>
              <w:t>, 2020 and on</w:t>
            </w:r>
          </w:p>
        </w:tc>
        <w:tc>
          <w:tcPr>
            <w:tcW w:w="760" w:type="dxa"/>
            <w:vAlign w:val="bottom"/>
          </w:tcPr>
          <w:p>
            <w:pPr>
              <w:jc w:val="right"/>
              <w:spacing w:after="0"/>
              <w:rPr>
                <w:sz w:val="20"/>
                <w:szCs w:val="20"/>
                <w:color w:val="auto"/>
              </w:rPr>
            </w:pPr>
            <w:r>
              <w:rPr>
                <w:rFonts w:ascii="Arial" w:cs="Arial" w:eastAsia="Arial" w:hAnsi="Arial"/>
                <w:sz w:val="18"/>
                <w:szCs w:val="18"/>
                <w:color w:val="auto"/>
              </w:rPr>
              <w:t>, 2020,</w:t>
            </w:r>
          </w:p>
        </w:tc>
      </w:tr>
    </w:tbl>
    <w:p>
      <w:pPr>
        <w:ind w:right="40"/>
        <w:spacing w:after="0" w:line="260" w:lineRule="auto"/>
        <w:rPr>
          <w:sz w:val="20"/>
          <w:szCs w:val="20"/>
          <w:color w:val="auto"/>
        </w:rPr>
      </w:pPr>
      <w:r>
        <w:rPr>
          <w:rFonts w:ascii="Arial" w:cs="Arial" w:eastAsia="Arial" w:hAnsi="Arial"/>
          <w:sz w:val="18"/>
          <w:szCs w:val="18"/>
          <w:color w:val="auto"/>
        </w:rPr>
        <w:t>respectively. The 2020 Plan will become effective, and no stock awards may be granted under the 2020 Plan until immediately prior to the effectiveness of the registration statement of which this prospectus forms a part.</w:t>
      </w:r>
    </w:p>
    <w:p>
      <w:pPr>
        <w:spacing w:after="0" w:line="185"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i w:val="1"/>
          <w:iCs w:val="1"/>
          <w:color w:val="auto"/>
        </w:rPr>
        <w:t xml:space="preserve">Stock Awards. </w:t>
      </w:r>
      <w:r>
        <w:rPr>
          <w:rFonts w:ascii="Arial" w:cs="Arial" w:eastAsia="Arial" w:hAnsi="Arial"/>
          <w:sz w:val="18"/>
          <w:szCs w:val="18"/>
          <w:color w:val="auto"/>
        </w:rPr>
        <w:t>The 2020 Plan provides for the grant of incentive stock options, within the meaning of Section 422 of the Code, or ISOs, nonstatutory</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or NSOs, stock appreciation rights, restricted stock awards, RSU awards, performance-based stock awards, and other forms of equity compensation, which are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80"/>
          </w:cols>
          <w:pgMar w:left="320" w:top="459" w:right="3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collectively referred to as stock awards. Additionally, the 2020 Plan provides for the grant of performance cash awards. ISOs may be granted only to our employees and to any of our parent or subsidiary corporation’s employees. All other awards may be granted to employees, including officers, and to non-employee directors and consultants of ours and any of our affiliates.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Initially, the aggregate number of shares of our Class A common stock that may be issued pursuant to stock awards under the 2020</w:t>
      </w:r>
    </w:p>
    <w:p>
      <w:pPr>
        <w:spacing w:after="0" w:line="46"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Plan is shares. The maximum number of shares that may be issued upon the exercise of ISOs under our 2020 Plan is shares. Additionally, the number of shares of our Class A common stock reserved for issuance under the 2020 Plan will automatically increase on the first day of each fiscal year for 10 years, starting February 1, 2021 (assuming the 2020 Plan becomes effective in fiscal 2021) and ending on and including February 1, 2030, in an</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amount equal to the least of (1) % of the total number of shares of our capital stock outstanding on the last day of the prior fiscal year, (2) shares, or (3) a number of shares approved by our board of directors.</w:t>
      </w:r>
    </w:p>
    <w:p>
      <w:pPr>
        <w:spacing w:after="0" w:line="185"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If a stock award granted under the 2020 Plan expires or otherwise terminates without being exercised in full, or is settled in cash, the shares of our Class A common stock not acquired pursuant to the stock award again will become available for subsequent issuance under the 2020 Plan. In addition, the following types of shares under the 2020 Plan may become available for the grant of new stock awards under the 2020 Plan: (1) shares that are forfeited to or repurchased by us prior to becoming fully vested; (2) shares withheld to satisfy income or employment withholding taxes; or (3) shares used to pay the exercise or purchase price of a stock award. Shares issued under the 2020 Plan may be previously unissued shares or reacquired shares bought by us on the open market.</w:t>
      </w:r>
    </w:p>
    <w:p>
      <w:pPr>
        <w:spacing w:after="0" w:line="192"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The maximum number of shares of Class A common stock subject to stock awards granted under the 2020 Plan or otherwise during any one calendar year to any non-employee director, taken together with any cash fees paid by us to such non-employee director during such calendar year for service on the</w:t>
      </w:r>
    </w:p>
    <w:p>
      <w:pPr>
        <w:ind w:right="80"/>
        <w:spacing w:after="0" w:line="281" w:lineRule="auto"/>
        <w:rPr>
          <w:sz w:val="20"/>
          <w:szCs w:val="20"/>
          <w:color w:val="auto"/>
        </w:rPr>
      </w:pPr>
      <w:r>
        <w:rPr>
          <w:rFonts w:ascii="Arial" w:cs="Arial" w:eastAsia="Arial" w:hAnsi="Arial"/>
          <w:sz w:val="16"/>
          <w:szCs w:val="16"/>
          <w:color w:val="auto"/>
        </w:rPr>
        <w:t>board of directors, will not exceed $ in total value (calculating the value of any such stock awards based on the grant date fair value of such stock awards for financial reporting purposes), or, with respect to the calendar year in which a non-employee director is first appointed or elected to our board of</w:t>
      </w:r>
    </w:p>
    <w:p>
      <w:pPr>
        <w:spacing w:after="0" w:line="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directors, $</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Our board of directors, or a duly authorized committee thereof, has the authority to administer the 2020 Plan.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may also delegate to one or more of our officers the authority to (1) designate employees (other than other officers) to be recipients of certain stock awards,</w:t>
      </w:r>
    </w:p>
    <w:p>
      <w:pPr>
        <w:ind w:firstLine="8"/>
        <w:spacing w:after="0" w:line="270" w:lineRule="auto"/>
        <w:tabs>
          <w:tab w:leader="none" w:pos="255" w:val="left"/>
        </w:tabs>
        <w:numPr>
          <w:ilvl w:val="0"/>
          <w:numId w:val="67"/>
        </w:numPr>
        <w:rPr>
          <w:rFonts w:ascii="Arial" w:cs="Arial" w:eastAsia="Arial" w:hAnsi="Arial"/>
          <w:sz w:val="17"/>
          <w:szCs w:val="17"/>
          <w:color w:val="auto"/>
        </w:rPr>
      </w:pPr>
      <w:r>
        <w:rPr>
          <w:rFonts w:ascii="Arial" w:cs="Arial" w:eastAsia="Arial" w:hAnsi="Arial"/>
          <w:sz w:val="17"/>
          <w:szCs w:val="17"/>
          <w:color w:val="auto"/>
        </w:rPr>
        <w:t>determine the number of shares of Class A common stock to be subject to such stock awards, and (3) specify the other terms and conditions, including the strike price or purchase price and vesting schedule, applicable to such awards. Subject to the terms of the 2020 Plan, our board of directors or the authorized committee, referred to as the plan administrator, determines recipients, dates of grant, the numbers and types of stock awards to be granted, and the terms and conditions of the stock awards, including the period of their exercisability and the vesting schedule applicable to a stock award. Subject to the limitations set forth below, the plan administrator will also determine the exercise price, strike price, or purchase price of stock awards granted, and the types of consideration to be paid for the stock award.</w:t>
      </w:r>
    </w:p>
    <w:p>
      <w:pPr>
        <w:spacing w:after="0" w:line="178" w:lineRule="exact"/>
        <w:rPr>
          <w:sz w:val="20"/>
          <w:szCs w:val="20"/>
          <w:color w:val="auto"/>
        </w:rPr>
      </w:pPr>
    </w:p>
    <w:p>
      <w:pPr>
        <w:ind w:right="200" w:firstLine="449"/>
        <w:spacing w:after="0" w:line="279" w:lineRule="auto"/>
        <w:rPr>
          <w:sz w:val="20"/>
          <w:szCs w:val="20"/>
          <w:color w:val="auto"/>
        </w:rPr>
      </w:pPr>
      <w:r>
        <w:rPr>
          <w:rFonts w:ascii="Arial" w:cs="Arial" w:eastAsia="Arial" w:hAnsi="Arial"/>
          <w:sz w:val="17"/>
          <w:szCs w:val="17"/>
          <w:color w:val="auto"/>
        </w:rPr>
        <w:t>The plan administrator has the authority to modify outstanding stock awards under our 2020 Plan. Subject to the terms of our 2020 Plan, the plan administrator has the authority, without stockholder approval, to reduce the exercise, purchase, or strike price of any outstanding stock award, cancel any outstanding stock award in exchange for new stock awards, cash, or other consideration, or take any other action that is treated as a repricing under generally accepted accounting principles, with the consent of any adversely affected participant.</w:t>
      </w:r>
    </w:p>
    <w:p>
      <w:pPr>
        <w:spacing w:after="0" w:line="171"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ISOs and NSOs are evidenced by stock option agreements adopted by the plan administrator. The plan administrator determines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for a stock option, within the terms and conditions of the 2020 Plan, provided that the exercise price of a stock option generally cannot be less than 100% of the fair market value of our Class A common stock on the date of grant. Options granted under the 2020 Plan vest at the rate specified by the plan administrator.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320" w:top="459" w:right="3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90" w:lineRule="auto"/>
        <w:rPr>
          <w:sz w:val="20"/>
          <w:szCs w:val="20"/>
          <w:color w:val="auto"/>
        </w:rPr>
      </w:pPr>
      <w:r>
        <w:rPr>
          <w:rFonts w:ascii="Arial" w:cs="Arial" w:eastAsia="Arial" w:hAnsi="Arial"/>
          <w:sz w:val="16"/>
          <w:szCs w:val="16"/>
          <w:color w:val="auto"/>
        </w:rPr>
        <w:t>The plan administrator determines the term of stock options granted under the 2020 Plan, up to a maximum of 10 years. Unless the terms of an option holder’s stock option agreement provide otherwise, if an option holder’s service relationship with us, or any of our affiliates, ceases for any reason other than disability, death, or cause, the option holder may generally exercise any vested options for a period of three months following the cessation of service. The option term will automatically be extended in the event that exercise of the option following such a termination of service is prohibited by applicable securities laws or our insider trading policy. If an option holder’s service relationship with us or any of our affiliates ceases due to disability or death, or an option holder dies within a certain period following cessation of service, the option holder or a beneficiary may generally exercise any vested options for a period of 12 months in the event of disability and 18 months in the event of death. In the event of a termination for cause, options generally terminate immediately. In no event may an option be exercised beyond the expiration of its term.</w:t>
      </w:r>
    </w:p>
    <w:p>
      <w:pPr>
        <w:spacing w:after="0" w:line="165"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Acceptable consideration for the purchase of common stock issued upon the exercise of a stock option will be determined by the plan administrator and may include (1) cash, check, bank draft, or money order, (2) a broker-assisted cashless exercise, (3) the tender of shares of our Class A common stock previously owned by the option holder, (4) a net exercise of the option if it is an NSO, and (5) other legal consideration approved by the plan administrator.</w:t>
      </w:r>
    </w:p>
    <w:p>
      <w:pPr>
        <w:spacing w:after="0" w:line="149"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the laws of descent and distribution, or pursuant to a domestic relations order. An option holder may designate a beneficiary, however, who may exercise the option following the option holder’s death.</w:t>
      </w:r>
    </w:p>
    <w:p>
      <w:pPr>
        <w:spacing w:after="0" w:line="184"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i w:val="1"/>
          <w:iCs w:val="1"/>
          <w:color w:val="auto"/>
        </w:rPr>
        <w:t xml:space="preserve">Tax Limitations on ISOs. </w:t>
      </w:r>
      <w:r>
        <w:rPr>
          <w:rFonts w:ascii="Arial" w:cs="Arial" w:eastAsia="Arial" w:hAnsi="Arial"/>
          <w:sz w:val="18"/>
          <w:szCs w:val="18"/>
          <w:color w:val="auto"/>
        </w:rPr>
        <w:t>The aggregate fair market value, determined at the time of grant, of our common stock with respect to ISOs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92"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Restricted stock awards are evidenced by restricted stock award agreements adopted by the plan administrator.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awards may be granted in consideration for (1) cash, check, bank draft, or money order, (2) services rendered to us or our affiliates, or (3) any other form of legal consideration. Common stock acquired under a restricted stock award may, but need not, be subject to a share repurchase option in our favor in accordance with a vesting schedule as determined by the plan administrator. Rights to acquire shares under a restricted stock award may be transferred only upon such terms and conditions as set by the plan administrator. Except as otherwise provided in the applicable award agreement, restricted stock awards that have not vested will be forfeited upon the participant’s cessation of continuous service for any reason.</w:t>
      </w:r>
    </w:p>
    <w:p>
      <w:pPr>
        <w:spacing w:after="0" w:line="164"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RSU awards are evidenced by RSU award agreements adopted by the plan administrator. RSU awards may be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in consideration for any form of legal consideration or for no consideration. An RSU award may be settled by cash, delivery of stock, a combination of cash and stock as deemed appropriate by the plan administrator, or in any other form of consideration set forth in the RSU award agreement. Additionally, dividend equivalents may be credited in respect of shares covered by an RSU award. Rights under an RSU award may be transferred only upon such terms and conditions as set by the plan administrator. RSU awards may be subject to vesting as determined by the plan administrator. Except as otherwise provided in the applicable award agreement, RSUs that have not vested will be forfeited upon the participant’s cessation of continuous service for any reason.</w:t>
      </w:r>
    </w:p>
    <w:p>
      <w:pPr>
        <w:spacing w:after="0" w:line="195"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are evidenced by stock appreciation grant agreements adopted by the plan administrator.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determines the strike price for a stock appreciation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80"/>
          </w:cols>
          <w:pgMar w:left="320" w:top="459" w:right="3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right, which generally cannot be less than 100% of the fair market value of our Class A common stock on the date of grant. Upon the exercise of a stock appreciation right, we will pay the participant an amount in cash or stock equal to (1) the excess of the per share fair market value of our Class A common stock on the date of exercise over the strike price, multiplied by (2) the number of shares of Class A common stock with respect to which the stock appreciation right is exercised. A stock appreciation right granted under the 2020 Plan vests at the rate specified in the stock appreciation right agreement as determined by the plan administrator.</w:t>
      </w:r>
    </w:p>
    <w:p>
      <w:pPr>
        <w:spacing w:after="0" w:line="188" w:lineRule="exact"/>
        <w:rPr>
          <w:sz w:val="20"/>
          <w:szCs w:val="20"/>
          <w:color w:val="auto"/>
        </w:rPr>
      </w:pPr>
    </w:p>
    <w:p>
      <w:pPr>
        <w:ind w:right="80" w:firstLine="449"/>
        <w:spacing w:after="0" w:line="270" w:lineRule="auto"/>
        <w:rPr>
          <w:sz w:val="20"/>
          <w:szCs w:val="20"/>
          <w:color w:val="auto"/>
        </w:rPr>
      </w:pPr>
      <w:r>
        <w:rPr>
          <w:rFonts w:ascii="Arial" w:cs="Arial" w:eastAsia="Arial" w:hAnsi="Arial"/>
          <w:sz w:val="17"/>
          <w:szCs w:val="17"/>
          <w:color w:val="auto"/>
        </w:rPr>
        <w:t>The plan administrator determines the term of stock appreciation rights granted under the 2020 Plan, up to a maximum of 10 years. Unless the terms of a participant’s stock appreciation right agreement provides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will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8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Unless the plan administrator provides otherwise, stock appreciation rights generally are not transferable except by will, the laws of descent and distribution, or pursuant to a domestic relations order. A stock appreciation right holder may designate a beneficiary, however, who may exercise the stock appreciation right following the holder’s death.</w:t>
      </w:r>
    </w:p>
    <w:p>
      <w:pPr>
        <w:spacing w:after="0" w:line="184"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Our 2020 Plan permits the grant of performance-based stock and cash awards. The performance goals may be any measure of</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selected by our board of directors or a committee thereof for the performance period.</w:t>
      </w:r>
    </w:p>
    <w:p>
      <w:pPr>
        <w:spacing w:after="0" w:line="170"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in the award agreement at the time the award is granted or in such other document setting forth the performance goals at the time the goals are established, we will appropriately make adjustments in the method of calculating the attainment of performance goals as follows:</w:t>
      </w:r>
    </w:p>
    <w:p>
      <w:pPr>
        <w:spacing w:after="0" w:line="1" w:lineRule="exact"/>
        <w:rPr>
          <w:sz w:val="20"/>
          <w:szCs w:val="20"/>
          <w:color w:val="auto"/>
        </w:rPr>
      </w:pPr>
    </w:p>
    <w:p>
      <w:pPr>
        <w:ind w:firstLine="8"/>
        <w:spacing w:after="0" w:line="285" w:lineRule="auto"/>
        <w:tabs>
          <w:tab w:leader="none" w:pos="2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Class A common stock by reason of any stock dividend or split, stock repurchase, reorganization, recapitalization, merger, consolidation, spin-off, combination, or exchange of shares or other similar corporate change, or any distributions to Class A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we retain the discretion to adjust or eliminate the compensation or economic benefit due upon attainment of the goals. The performance goals may differ from participant to participant and from award to award.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i w:val="1"/>
          <w:iCs w:val="1"/>
          <w:color w:val="auto"/>
        </w:rPr>
        <w:t xml:space="preserve">Other Stock Awards. </w:t>
      </w:r>
      <w:r>
        <w:rPr>
          <w:rFonts w:ascii="Arial" w:cs="Arial" w:eastAsia="Arial" w:hAnsi="Arial"/>
          <w:sz w:val="18"/>
          <w:szCs w:val="18"/>
          <w:color w:val="auto"/>
        </w:rPr>
        <w:t>The plan administrator may grant other awards based in whole or in part by reference to our Class A common stock.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will set the number of shares under the stock award and all other terms and conditions of such awards.</w:t>
      </w:r>
    </w:p>
    <w:p>
      <w:pPr>
        <w:spacing w:after="0" w:line="170"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i w:val="1"/>
          <w:iCs w:val="1"/>
          <w:color w:val="auto"/>
        </w:rPr>
        <w:t xml:space="preserve">Changes to Capital Structure. </w:t>
      </w:r>
      <w:r>
        <w:rPr>
          <w:rFonts w:ascii="Arial" w:cs="Arial" w:eastAsia="Arial" w:hAnsi="Arial"/>
          <w:sz w:val="16"/>
          <w:szCs w:val="16"/>
          <w:color w:val="auto"/>
        </w:rPr>
        <w:t>In the event that there is a specified type of change in our capital structure, such as a stock split or recapitalization,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appropriate adjustments will be made to (1) the class and maximum number of shares reserved for issuance under the 2020 Plan, (2) the class and maximum number of shares by which the share reserve may increase automatically each year, (3) the class and number of shares that may be issued upon the exercise of ISOs, and (4) the class and number of shares and exercise price, strike price, or purchase price, if applicable, of all outstanding stock awards.</w:t>
      </w:r>
    </w:p>
    <w:p>
      <w:pPr>
        <w:spacing w:after="0" w:line="15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of certain specified significant corporate transactions, the plan administrator has the discretion to take any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actions with respect to stock awards:</w:t>
      </w:r>
    </w:p>
    <w:p>
      <w:pPr>
        <w:spacing w:after="0" w:line="76" w:lineRule="exact"/>
        <w:rPr>
          <w:sz w:val="20"/>
          <w:szCs w:val="20"/>
          <w:color w:val="auto"/>
        </w:rPr>
      </w:pPr>
    </w:p>
    <w:p>
      <w:pPr>
        <w:ind w:left="1000" w:hanging="547"/>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stock award by a surviving or acquiring entity or parent company;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arrange for the assignment of any reacquisition or repurchase rights held by us to the surviving or acquiring entity or parent company;</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accelerate the vesting of the stock award and provide for its termination prior to the effective time of the corporate transaction;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arrange for the lapse of any reacquisition or repurchase right held by us;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cancel or arrange for the cancellation of the stock award in exchange for such cash consideration, if any, as our board of directors may deem appropriate; or</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make a payment equal to the excess of (1) the value of the property the participant would have received upon exercise of the stock award over</w:t>
      </w:r>
    </w:p>
    <w:p>
      <w:pPr>
        <w:spacing w:after="0" w:line="46"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(2) the exercise price or strike price otherwise payable in connection with the stock award.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plan administrator is not obligated to treat all stock awards, even those that are of the same type, in the same manner.</w:t>
      </w:r>
    </w:p>
    <w:p>
      <w:pPr>
        <w:spacing w:after="0" w:line="225"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Under the 2020 Plan, a significant corporate transaction is generally the consummation of (1) a sale or other disposition of all or substantially all of our consolidated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88" w:lineRule="exact"/>
        <w:rPr>
          <w:sz w:val="20"/>
          <w:szCs w:val="20"/>
          <w:color w:val="auto"/>
        </w:rPr>
      </w:pPr>
    </w:p>
    <w:p>
      <w:pPr>
        <w:ind w:right="120" w:firstLine="449"/>
        <w:spacing w:after="0" w:line="293"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The plan administrator may provide, in an individual award agreement or in any other written agreement between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and us, that the stock award will be subject to additional acceleration of vesting and exercisability or settlement in the event of a change in control. Under the 2020 Plan, a change in control is generally (1) the acquisition by a person or entity of more than 50% of our combined voting power other than by merger, consolidation, or similar transaction, (2) a consummated merger, consolidation, or similar transaction immediately after which our stockholders cease to own more than 50% of the combined voting power of the surviving entity, (3) a consummated sale, lease, or exclusive license or other disposition of all or substantially all of our consolidated assets, and (4) certain dissolutions, liquidations, and changes in the board of directors.</w:t>
      </w:r>
    </w:p>
    <w:p>
      <w:pPr>
        <w:spacing w:after="0" w:line="164" w:lineRule="exact"/>
        <w:rPr>
          <w:sz w:val="20"/>
          <w:szCs w:val="20"/>
          <w:color w:val="auto"/>
        </w:rPr>
      </w:pPr>
    </w:p>
    <w:p>
      <w:pPr>
        <w:jc w:val="both"/>
        <w:ind w:right="60" w:firstLine="449"/>
        <w:spacing w:after="0" w:line="311" w:lineRule="auto"/>
        <w:rPr>
          <w:sz w:val="20"/>
          <w:szCs w:val="20"/>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Our board of directors has the authority to amend, suspend, or terminate our 2020 Plan, provided that such action does</w:t>
      </w:r>
      <w:r>
        <w:rPr>
          <w:rFonts w:ascii="Arial" w:cs="Arial" w:eastAsia="Arial" w:hAnsi="Arial"/>
          <w:sz w:val="16"/>
          <w:szCs w:val="16"/>
          <w:i w:val="1"/>
          <w:iCs w:val="1"/>
          <w:color w:val="auto"/>
        </w:rPr>
        <w:t xml:space="preserve"> </w:t>
      </w:r>
      <w:r>
        <w:rPr>
          <w:rFonts w:ascii="Arial" w:cs="Arial" w:eastAsia="Arial" w:hAnsi="Arial"/>
          <w:sz w:val="16"/>
          <w:szCs w:val="16"/>
          <w:color w:val="auto"/>
        </w:rPr>
        <w:t>not materially impair the existing rights of any participant without such participant’s written consent and provided further that certain types of amendments will require the approval of our stockholders. No ISOs may be granted after the tenth anniversary of the date our board of directors adopts our 2020 Plan.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459"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2009 Stock Plan</w:t>
      </w:r>
    </w:p>
    <w:p>
      <w:pPr>
        <w:spacing w:after="0" w:line="117" w:lineRule="exact"/>
        <w:rPr>
          <w:sz w:val="20"/>
          <w:szCs w:val="20"/>
          <w:color w:val="auto"/>
        </w:rPr>
      </w:pPr>
    </w:p>
    <w:p>
      <w:pPr>
        <w:ind w:right="200" w:firstLine="449"/>
        <w:spacing w:after="0" w:line="272" w:lineRule="auto"/>
        <w:rPr>
          <w:sz w:val="20"/>
          <w:szCs w:val="20"/>
          <w:color w:val="auto"/>
        </w:rPr>
      </w:pPr>
      <w:r>
        <w:rPr>
          <w:rFonts w:ascii="Arial" w:cs="Arial" w:eastAsia="Arial" w:hAnsi="Arial"/>
          <w:sz w:val="17"/>
          <w:szCs w:val="17"/>
          <w:color w:val="auto"/>
        </w:rPr>
        <w:t>Our board of directors adopted our 2009 Stock Plan on February 4, 2009, which our stockholders approved on the same date, and which has been amended from time to time thereafter. Our 2009 Stock Plan provides for the grant of incentive stock options under Section 422 of the Code to our employees (and those of our subsidiaries) and for the grant of nonstatutory stock options and restricted stock to our employees, directors, and consultants (and those of our subsidiaries). We primarily granted stock options under our 2009 Stock Plan, though we have granted restricted stock under our 2009 Stock Plan as well. We ceased issuing awards under our 2009 Stock Plan upon the implementation of the 2012 Plan, which is described below. However, any outstanding awards granted under our 2009 Stock Plan remain outstanding, subject to the terms of our 2009 Stock Plan and applicable award agreements, until they are exercised or terminated, or until they expire by their terms.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2012 Stock Plan</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Our board of directors adopted, and our stockholders approved, the 2012 Plan in July 2012. The 2012 Plan has been periodically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and was most recently amended and restated in September 2019. The 2012 Plan will be terminated in connection with, and contingent upon, the effectiveness of the registration statement of which this prospectus forms a part. All outstanding awards granted under the 2012 Plan will remain subject to the terms of the 2012 Plan.</w:t>
      </w:r>
    </w:p>
    <w:p>
      <w:pPr>
        <w:spacing w:after="0" w:line="18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Under our 2012 Plan, we have reserved for issuance an aggregate of 52,299,254 shares of our Class A common stock. In general, if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granted under our 2012 Plan is canceled or terminated or otherwise forfeited by a participant, then the number of shares underlying such award will again become available for awards under the 2012 Plan. Following the effectiveness of our 2020 Plan, such shares will again become available for awards under our 2020 Plan.</w:t>
      </w:r>
    </w:p>
    <w:p>
      <w:pPr>
        <w:spacing w:after="0" w:line="187" w:lineRule="exact"/>
        <w:rPr>
          <w:sz w:val="20"/>
          <w:szCs w:val="20"/>
          <w:color w:val="auto"/>
        </w:rPr>
      </w:pPr>
    </w:p>
    <w:p>
      <w:pPr>
        <w:ind w:right="520" w:firstLine="449"/>
        <w:spacing w:after="0" w:line="259" w:lineRule="auto"/>
        <w:rPr>
          <w:sz w:val="20"/>
          <w:szCs w:val="20"/>
          <w:color w:val="auto"/>
        </w:rPr>
      </w:pPr>
      <w:r>
        <w:rPr>
          <w:rFonts w:ascii="Arial" w:cs="Arial" w:eastAsia="Arial" w:hAnsi="Arial"/>
          <w:sz w:val="18"/>
          <w:szCs w:val="18"/>
          <w:i w:val="1"/>
          <w:iCs w:val="1"/>
          <w:color w:val="auto"/>
        </w:rPr>
        <w:t xml:space="preserve">Type of Awards. </w:t>
      </w:r>
      <w:r>
        <w:rPr>
          <w:rFonts w:ascii="Arial" w:cs="Arial" w:eastAsia="Arial" w:hAnsi="Arial"/>
          <w:sz w:val="18"/>
          <w:szCs w:val="18"/>
          <w:color w:val="auto"/>
        </w:rPr>
        <w:t>The 2012 Plan provides for the grant of incentive stock options, nonstatutory stock options, restricted shares, and RSUs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employees of any parent or our subsidiary or affiliate companies, our directors, and to consultants engaged by us, any parent, or our subsidiary or affiliate companies; provided that incentive stock options may only be granted to our employees and employees of any parent or our subsidiary companies.</w:t>
      </w:r>
    </w:p>
    <w:p>
      <w:pPr>
        <w:spacing w:after="0" w:line="187"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The plan administrator may grant incentive and/or non-statutory stock options under our 2012 Plan, provided that incentive stock</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are only granted to employees. The exercise price of such options must generally be equal to at least the fair market value of our Class A common stock on the date of grant. The term of an option must not exceed 10 years; provided, however, that an incentive stock option held by a participant who owns more than 10% of the total combined voting power of all classes of our stock, or of certain of our subsidiary corporations, must not have a term in excess of five years and must have an exercise price of at least 110% of the fair market value of our Class A common stock on the grant date. The plan administrator determines the methods of payment of the exercise price of an option. In addition, the plan administrator determines the vesting schedule applicable to options, together with any vesting acceleration, and the terms of the option agreements for use under our 2012 Plan.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Options generally terminate immediately upon the termination of the participant for cause. In all other cases, the option will generally remain exercisable for three months following the termination of service. However, in no event may an option be exercised later than the expiration of its term.</w:t>
      </w:r>
    </w:p>
    <w:p>
      <w:pPr>
        <w:spacing w:after="0" w:line="172" w:lineRule="exact"/>
        <w:rPr>
          <w:sz w:val="20"/>
          <w:szCs w:val="20"/>
          <w:color w:val="auto"/>
        </w:rPr>
      </w:pPr>
    </w:p>
    <w:p>
      <w:pPr>
        <w:ind w:right="300" w:firstLine="449"/>
        <w:spacing w:after="0" w:line="311"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Restricted stock may be granted under our 2012 Plan. Restricted stock awards are grants of shares of our Class A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subject to various restrictions, including restrictions on transferability and forfeiture provisions. Shares of restricted stock will vest and the restrictions on such shares will lapse in accordance with terms and conditions established by the plan administrator. The plan administrator,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459"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its sole discretion, may accelerate the time at which any restrictions will lapse or be removed. Recipients of restricted stock awards generally will have the same rights as other stockholders with respect to such shares upon grant without regard to vesting, subject to any applicable agreements. Shares of restricted stock that do not vest for any reason will be subject to our right of repurchase or forfeited by the recipient and will revert to us. The specific terms will be set forth in an award agreement.</w:t>
      </w:r>
    </w:p>
    <w:p>
      <w:pPr>
        <w:spacing w:after="0" w:line="18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7"/>
          <w:szCs w:val="17"/>
          <w:color w:val="auto"/>
        </w:rPr>
        <w:t>. RSUs may be granted under our 2012 Plan. Each RSU granted is a bookkeeping entry representing an amount equal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one share of our Class A common stock. The administrator determines the terms and conditions of RSUs, including the vesting criteria, which may include achievement of specified performance criteria and/or continued service, and the form and timing of payment. The administrator, in its sole discretion, may accelerate the time at which any restrictions will lapse or be removed. The administrator determines, in its sole discretion, whether an award will be settled in stock, cash, or a combination of both. The specific terms will be set forth in an award agreement.</w:t>
      </w:r>
    </w:p>
    <w:p>
      <w:pPr>
        <w:spacing w:after="0" w:line="176"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appointed by our board of directors (referred to as the plan administrator for purposes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2012 Plan), administers and interprets the provisions of the 2012 Plan. Under the 2012 Plan, the plan administrator has the authority to, among other things, accelerate the vesting of awards and institute and determine the terms of an option exchange program under which outstanding stock options are exchanged for stock options with a lower exercise price or restricted stock or are amended to decrease the exercise price as a result of a decline in the fair market value of our Class A common stock.</w:t>
      </w:r>
    </w:p>
    <w:p>
      <w:pPr>
        <w:spacing w:after="0" w:line="188"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of certain corporate events or changes in our capitalization, the plan administrator will make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one or more of the number and class of shares that may be delivered under the 2012 Plan and/or the number, class, and price of shares covered by each outstanding award.</w:t>
      </w:r>
    </w:p>
    <w:p>
      <w:pPr>
        <w:spacing w:after="0" w:line="184"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dissolution or liquidation, each award will terminate immediately prior to the consummation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action, unless otherwise determined by the plan administrator.</w:t>
      </w:r>
    </w:p>
    <w:p>
      <w:pPr>
        <w:spacing w:after="0" w:line="170" w:lineRule="exact"/>
        <w:rPr>
          <w:sz w:val="20"/>
          <w:szCs w:val="20"/>
          <w:color w:val="auto"/>
        </w:rPr>
      </w:pPr>
    </w:p>
    <w:p>
      <w:pPr>
        <w:ind w:right="60" w:firstLine="449"/>
        <w:spacing w:after="0" w:line="286"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In the event of (1) a transfer of all or substantially all of our assets, (2) a merger, consolidation, or other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or business combination of us with or into another corporation, entity, or person, or (3) the consummation of a transaction, or series of related transactions, in which any person becomes the beneficial owner, directly or indirectly, of more than 50% of our then outstanding capital stock, each outstanding award shall be treated as the plan administrator determines. Such determination may provide that such outstanding awards will be</w:t>
      </w:r>
    </w:p>
    <w:p>
      <w:pPr>
        <w:spacing w:after="0" w:line="1" w:lineRule="exact"/>
        <w:rPr>
          <w:sz w:val="20"/>
          <w:szCs w:val="20"/>
          <w:color w:val="auto"/>
        </w:rPr>
      </w:pPr>
    </w:p>
    <w:p>
      <w:pPr>
        <w:ind w:right="120" w:firstLine="8"/>
        <w:spacing w:after="0" w:line="253" w:lineRule="auto"/>
        <w:tabs>
          <w:tab w:leader="none" w:pos="2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continued if we are the surviving corporation, (2) assumed by the surviving corporation or its parent, (3) substituted by the surviving corporation or its parent for a new award, (4) canceled in exchange for a payment equal to the excess of the fair market value of our shares subject to such award over the exercise price or purchase price paid for such shares, if any, or if such award is “underwater,” canceled for no consideration, or (5) canceled for no consideration.</w:t>
      </w:r>
    </w:p>
    <w:p>
      <w:pPr>
        <w:spacing w:after="0" w:line="193"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of directors may at any time amend or terminate the 2012 Plan, provided such action does not materially and</w:t>
      </w:r>
      <w:r>
        <w:rPr>
          <w:rFonts w:ascii="Arial" w:cs="Arial" w:eastAsia="Arial" w:hAnsi="Arial"/>
          <w:sz w:val="18"/>
          <w:szCs w:val="18"/>
          <w:i w:val="1"/>
          <w:iCs w:val="1"/>
          <w:color w:val="auto"/>
        </w:rPr>
        <w:t xml:space="preserve"> </w:t>
      </w:r>
      <w:r>
        <w:rPr>
          <w:rFonts w:ascii="Arial" w:cs="Arial" w:eastAsia="Arial" w:hAnsi="Arial"/>
          <w:sz w:val="18"/>
          <w:szCs w:val="18"/>
          <w:color w:val="auto"/>
        </w:rPr>
        <w:t>adversely affect the rights of any participant without his or her consent.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We maintain a 401(k) plan that provides eligible U.S. employees with an opportunity to save for retirement on a tax advantaged basis. Eligible employees are able to defer compensation up to certain limits imposed by the Code. We have the ability to make matching and discretionary contributions to the 401(k) plan. Currently, we do not make matching contributions or discretionary contributions to the 401(k) plan. The 401(k) plan is intended to be qualified under Section 401(a) of the Code, with the related trust intended to be tax exempt under Section 501(a) of the Code. As a tax-qualified retirement plan, and contributions and earnings on those amounts are generally not taxable to a participating employee until withdrawn or distributed from the 401(k) plan.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459" w:right="3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of Liability and Indemnification Matters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Following the effectiveness of the registration statement of which this prospectus forms a part,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92" w:lineRule="exact"/>
        <w:rPr>
          <w:sz w:val="20"/>
          <w:szCs w:val="20"/>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Our amended and restated certificate of incorporation that will be in effect following the effectiveness of the registration statement of which this prospectus forms a part will authorize us to indemnify our directors, officers, employees, and other agents to the fullest extent permitted by Delaware law. Our amended and restated bylaws that will be in effect following the effectiveness of the registration statement of which this prospectus forms a part will provide that we are required to indemnify our directors and officers to the fullest extent permitted by Delaware law and may indemnify our other employees and agents. Our amended and restated bylaws that will be in effect following the effectiveness of the registration statement of which this prospectus forms a part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86"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8"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320" w:top="459" w:right="3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In addition to the compensation arrangements, including employment and termination of employment arrangements and indemnification agreements described in “Executive Compensation” and the registration rights described in “Description of Capital Stock—Registration Rights,” the following is a description of each transaction since February 1, 2017 and each currently proposed transaction in which:</w:t>
      </w:r>
    </w:p>
    <w:p>
      <w:pPr>
        <w:spacing w:after="0" w:line="71" w:lineRule="exact"/>
        <w:rPr>
          <w:sz w:val="20"/>
          <w:szCs w:val="20"/>
          <w:color w:val="auto"/>
        </w:rPr>
      </w:pPr>
    </w:p>
    <w:p>
      <w:pPr>
        <w:ind w:left="1000" w:hanging="547"/>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 involved exceeds $120,000; and</w:t>
      </w:r>
    </w:p>
    <w:p>
      <w:pPr>
        <w:spacing w:after="0" w:line="130" w:lineRule="exact"/>
        <w:rPr>
          <w:rFonts w:ascii="Arial" w:cs="Arial" w:eastAsia="Arial" w:hAnsi="Arial"/>
          <w:sz w:val="18"/>
          <w:szCs w:val="18"/>
          <w:color w:val="auto"/>
        </w:rPr>
      </w:pPr>
    </w:p>
    <w:p>
      <w:pPr>
        <w:ind w:left="1000" w:right="320" w:hanging="547"/>
        <w:spacing w:after="0" w:line="308" w:lineRule="auto"/>
        <w:tabs>
          <w:tab w:leader="none" w:pos="10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of our directors, executive officers, or beneficial owners of more than 5% of our capital stock, or any immediate family member of or person sharing the household with any of these individuals, had or will have a direct or indirect material interest.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Convertible Note Financing</w:t>
      </w:r>
    </w:p>
    <w:p>
      <w:pPr>
        <w:spacing w:after="0" w:line="121"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In May 2017, we entered into a convertible note purchase agreement with Dustin A. Moskovitz TTEE Dustin A. Moskovitz Trust DTD 12/27/05, or the Dustin Moskovitz Trust. The Dustin Moskovitz Trust is an affiliated trust of Dustin Moskovitz, our President, Chief Executive Officer, and Chair of our board of directors. Pursuant to the convertible note purchase agreement, we agreed to issue and sell convertible notes having an aggregate principal amount of up to $25.0 million to the Dustin Moskovitz Trust. In August 2017, we issued and sold to the Dustin Moskovitz Trust a convertible promissory note in the principal amount of $15.0 million, or the 2017 Note. The 2017 Note accrued interest at 4.25%, compounded annually. The aggregate principal amount and accrued interest on the 2017 Note converted into 2,923,425 shares of our Series D preferred stock at a conversion price of $5.23 per share upon the closing of our Series D preferred stock financing in January 2018.</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D Preferred Stock Financing</w:t>
      </w:r>
    </w:p>
    <w:p>
      <w:pPr>
        <w:spacing w:after="0" w:line="121"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In two closings in January 2018, we sold an aggregate of 11,429,642 shares of our Series D preferred stock at a purchase price of $5.23 per share for an aggregate purchase price of approximately $59.7 million. The purchasers of our Series D preferred stock are entitled to specified registration rights. For additional information, see “Description of Capital Stock—Registration Rights.”</w:t>
      </w:r>
    </w:p>
    <w:p>
      <w:pPr>
        <w:spacing w:after="0" w:line="184"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following table summarizes the Series D preferred stock purchased by our directors, executive officers, and beneficial owners of more than 5% of our capital stock. The terms of these purchases were the same for all purchasers of our Series D preferred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stockholder</w:t>
            </w:r>
          </w:p>
        </w:tc>
        <w:tc>
          <w:tcPr>
            <w:tcW w:w="7020" w:type="dxa"/>
            <w:vAlign w:val="bottom"/>
            <w:vMerge w:val="restart"/>
          </w:tcPr>
          <w:p>
            <w:pPr>
              <w:spacing w:after="0"/>
              <w:rPr>
                <w:sz w:val="14"/>
                <w:szCs w:val="14"/>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Shares of Series D</w:t>
            </w:r>
          </w:p>
        </w:tc>
        <w:tc>
          <w:tcPr>
            <w:tcW w:w="24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Total Purchase</w:t>
            </w:r>
          </w:p>
        </w:tc>
        <w:tc>
          <w:tcPr>
            <w:tcW w:w="0" w:type="dxa"/>
            <w:vAlign w:val="bottom"/>
          </w:tcPr>
          <w:p>
            <w:pPr>
              <w:spacing w:after="0"/>
              <w:rPr>
                <w:sz w:val="1"/>
                <w:szCs w:val="1"/>
                <w:color w:val="auto"/>
              </w:rPr>
            </w:pPr>
          </w:p>
        </w:tc>
      </w:tr>
      <w:tr>
        <w:trPr>
          <w:trHeight w:val="178"/>
        </w:trPr>
        <w:tc>
          <w:tcPr>
            <w:tcW w:w="1300" w:type="dxa"/>
            <w:vAlign w:val="bottom"/>
            <w:tcBorders>
              <w:bottom w:val="single" w:sz="8" w:color="auto"/>
            </w:tcBorders>
            <w:vMerge w:val="continue"/>
          </w:tcPr>
          <w:p>
            <w:pPr>
              <w:spacing w:after="0"/>
              <w:rPr>
                <w:sz w:val="15"/>
                <w:szCs w:val="15"/>
                <w:color w:val="auto"/>
              </w:rPr>
            </w:pPr>
          </w:p>
        </w:tc>
        <w:tc>
          <w:tcPr>
            <w:tcW w:w="7020" w:type="dxa"/>
            <w:vAlign w:val="bottom"/>
            <w:vMerge w:val="continue"/>
          </w:tcPr>
          <w:p>
            <w:pPr>
              <w:spacing w:after="0"/>
              <w:rPr>
                <w:sz w:val="15"/>
                <w:szCs w:val="15"/>
                <w:color w:val="auto"/>
              </w:rPr>
            </w:pPr>
          </w:p>
        </w:tc>
        <w:tc>
          <w:tcPr>
            <w:tcW w:w="142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w w:val="99"/>
              </w:rPr>
              <w:t>Preferred Stock</w:t>
            </w:r>
          </w:p>
        </w:tc>
        <w:tc>
          <w:tcPr>
            <w:tcW w:w="240" w:type="dxa"/>
            <w:vAlign w:val="bottom"/>
          </w:tcPr>
          <w:p>
            <w:pPr>
              <w:spacing w:after="0"/>
              <w:rPr>
                <w:sz w:val="15"/>
                <w:szCs w:val="15"/>
                <w:color w:val="auto"/>
              </w:rPr>
            </w:pPr>
          </w:p>
        </w:tc>
        <w:tc>
          <w:tcPr>
            <w:tcW w:w="12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8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Dustin A. Moskovitz</w:t>
            </w:r>
            <w:r>
              <w:rPr>
                <w:rFonts w:ascii="Arial" w:cs="Arial" w:eastAsia="Arial" w:hAnsi="Arial"/>
                <w:sz w:val="15"/>
                <w:szCs w:val="15"/>
                <w:color w:val="auto"/>
              </w:rPr>
              <w:t>(1)</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7,109,553</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$ 37,149,995.20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Generation IM Climate Solutions Fund II, L.P.</w:t>
            </w:r>
            <w:r>
              <w:rPr>
                <w:rFonts w:ascii="Arial" w:cs="Arial" w:eastAsia="Arial" w:hAnsi="Arial"/>
                <w:sz w:val="15"/>
                <w:szCs w:val="15"/>
                <w:color w:val="auto"/>
              </w:rPr>
              <w:t>(2)</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6,698,099</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34,999,998.69</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The Founders Fund</w:t>
            </w:r>
            <w:r>
              <w:rPr>
                <w:rFonts w:ascii="Arial" w:cs="Arial" w:eastAsia="Arial" w:hAnsi="Arial"/>
                <w:sz w:val="15"/>
                <w:szCs w:val="15"/>
                <w:color w:val="auto"/>
              </w:rPr>
              <w:t>(3)</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47,843</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249,997.06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0"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the Dustin Moskovitz Trust, the Dustin A Moskovitz 2008 Annuity Trust DTD 3/10/08, and Moskovitz Investment Holdings, LLC, each of which are affiliated with</w:t>
      </w:r>
    </w:p>
    <w:p>
      <w:pPr>
        <w:ind w:left="460" w:right="240"/>
        <w:spacing w:after="0" w:line="221" w:lineRule="auto"/>
        <w:rPr>
          <w:rFonts w:ascii="Arial" w:cs="Arial" w:eastAsia="Arial" w:hAnsi="Arial"/>
          <w:sz w:val="14"/>
          <w:szCs w:val="14"/>
          <w:color w:val="auto"/>
        </w:rPr>
      </w:pPr>
      <w:r>
        <w:rPr>
          <w:rFonts w:ascii="Arial" w:cs="Arial" w:eastAsia="Arial" w:hAnsi="Arial"/>
          <w:sz w:val="14"/>
          <w:szCs w:val="14"/>
          <w:color w:val="auto"/>
        </w:rPr>
        <w:t>Mr. Moskovitz. In addition, as noted above, the accrued interest and principal amount of the 2017 Note converted into an additional 2,923,425 shares of our Series D preferred stock in connection with the closing of the Series D preferred stock financing.</w:t>
      </w:r>
    </w:p>
    <w:p>
      <w:pPr>
        <w:ind w:left="460" w:right="440" w:hanging="452"/>
        <w:spacing w:after="0" w:line="221" w:lineRule="auto"/>
        <w:tabs>
          <w:tab w:leader="none" w:pos="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Generation IM Climate Solutions Fund II, L.P. is a greater than 5% stockholder, and Colin le Duc, a former member of our board of directors, is a partner of Generation Investment Management LLP, an affiliate of Generation IM Climate Solutions Fund II, L.P.</w:t>
      </w:r>
    </w:p>
    <w:p>
      <w:pPr>
        <w:ind w:left="460" w:hanging="452"/>
        <w:spacing w:after="0"/>
        <w:tabs>
          <w:tab w:leader="none" w:pos="4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Consists of The Founders Fund IV, LP and The Founders Fund IV Principals Fund, LP.</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Convertible Note Purchase Agreement</w:t>
      </w:r>
    </w:p>
    <w:p>
      <w:pPr>
        <w:spacing w:after="0" w:line="121"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In January 2018, we entered into a convertible note purchase agreement with the Dustin Moskovitz Trust pursuant to which we agreed to issue and sell convertible notes up to an aggregate principal amount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459"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$75.0 million to the Dustin Moskovitz Trust. The parties amended the agreement in June 2019 to increase the borrowing capacity thereunder from $75.0 million to $125.0 million and terminated the agreement upon the issuance of the 2020 Note as defined and described below. No convertible notes were issued or sold pursuant to the convertible note purchase agreement prior to its termination.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E Preferred Stock Financing</w:t>
      </w:r>
    </w:p>
    <w:p>
      <w:pPr>
        <w:spacing w:after="0" w:line="121"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In November 2018, we sold an aggregate of 6,229,843 shares of our Series E preferred stock at a purchase price of $8.19 per share for an aggregate purchase price of approximately $51.0 million. The purchasers of our Series E preferred stock are entitled to specified registration rights. For additional information, see “Description of Capital Stock—Registration Rights.”</w:t>
      </w:r>
    </w:p>
    <w:p>
      <w:pPr>
        <w:spacing w:after="0" w:line="184"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following table summarizes the Series E preferred stock purchased by our directors, executive officers, and beneficial owners of more than 5% of our capital stock. The terms of these purchases were the same for all purchasers of our Series E preferred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Shares of Series E</w:t>
            </w:r>
          </w:p>
        </w:tc>
        <w:tc>
          <w:tcPr>
            <w:tcW w:w="140" w:type="dxa"/>
            <w:vAlign w:val="bottom"/>
          </w:tcPr>
          <w:p>
            <w:pPr>
              <w:spacing w:after="0"/>
              <w:rPr>
                <w:sz w:val="14"/>
                <w:szCs w:val="14"/>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Total Purchase</w:t>
            </w:r>
          </w:p>
        </w:tc>
        <w:tc>
          <w:tcPr>
            <w:tcW w:w="0" w:type="dxa"/>
            <w:vAlign w:val="bottom"/>
          </w:tcPr>
          <w:p>
            <w:pPr>
              <w:spacing w:after="0"/>
              <w:rPr>
                <w:sz w:val="1"/>
                <w:szCs w:val="1"/>
                <w:color w:val="auto"/>
              </w:rPr>
            </w:pPr>
          </w:p>
        </w:tc>
      </w:tr>
      <w:tr>
        <w:trPr>
          <w:trHeight w:val="148"/>
        </w:trPr>
        <w:tc>
          <w:tcPr>
            <w:tcW w:w="8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Preferred</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180" w:type="dxa"/>
            <w:vAlign w:val="bottom"/>
            <w:gridSpan w:val="2"/>
            <w:vMerge w:val="continue"/>
          </w:tcPr>
          <w:p>
            <w:pPr>
              <w:spacing w:after="0"/>
              <w:rPr>
                <w:sz w:val="13"/>
                <w:szCs w:val="13"/>
                <w:color w:val="auto"/>
              </w:rPr>
            </w:pPr>
          </w:p>
        </w:tc>
        <w:tc>
          <w:tcPr>
            <w:tcW w:w="16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3"/>
                <w:szCs w:val="13"/>
                <w:color w:val="auto"/>
              </w:rPr>
            </w:pPr>
          </w:p>
        </w:tc>
        <w:tc>
          <w:tcPr>
            <w:tcW w:w="12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
        </w:trPr>
        <w:tc>
          <w:tcPr>
            <w:tcW w:w="1300" w:type="dxa"/>
            <w:vAlign w:val="bottom"/>
            <w:tcBorders>
              <w:bottom w:val="single" w:sz="8" w:color="CCEEFF"/>
            </w:tcBorders>
            <w:shd w:val="clear" w:color="auto" w:fill="000000"/>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The Dustin Moskovitz Trust</w:t>
            </w:r>
            <w:r>
              <w:rPr>
                <w:rFonts w:ascii="Arial" w:cs="Arial" w:eastAsia="Arial" w:hAnsi="Arial"/>
                <w:sz w:val="15"/>
                <w:szCs w:val="15"/>
                <w:color w:val="auto"/>
              </w:rPr>
              <w:t>(1)</w:t>
            </w:r>
          </w:p>
        </w:tc>
        <w:tc>
          <w:tcPr>
            <w:tcW w:w="1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855,076</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6,999,995.03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rPr>
              <w:t>Generation IM Climate Solutions Fund II, L.P.</w:t>
            </w:r>
            <w:r>
              <w:rPr>
                <w:rFonts w:ascii="Arial" w:cs="Arial" w:eastAsia="Arial" w:hAnsi="Arial"/>
                <w:sz w:val="15"/>
                <w:szCs w:val="15"/>
                <w:color w:val="auto"/>
              </w:rPr>
              <w:t>(2)</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3,053,845</w:t>
            </w: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24,999,999.77</w:t>
            </w:r>
          </w:p>
        </w:tc>
        <w:tc>
          <w:tcPr>
            <w:tcW w:w="0" w:type="dxa"/>
            <w:vAlign w:val="bottom"/>
          </w:tcPr>
          <w:p>
            <w:pPr>
              <w:spacing w:after="0"/>
              <w:rPr>
                <w:sz w:val="1"/>
                <w:szCs w:val="1"/>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Benchmark Capital Partners VI, L.P.</w:t>
            </w:r>
            <w:r>
              <w:rPr>
                <w:rFonts w:ascii="Arial" w:cs="Arial" w:eastAsia="Arial" w:hAnsi="Arial"/>
                <w:sz w:val="15"/>
                <w:szCs w:val="15"/>
                <w:color w:val="auto"/>
              </w:rPr>
              <w:t>(3)</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366,461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2,999,996.70</w:t>
            </w:r>
          </w:p>
        </w:tc>
        <w:tc>
          <w:tcPr>
            <w:tcW w:w="0" w:type="dxa"/>
            <w:vAlign w:val="bottom"/>
          </w:tcPr>
          <w:p>
            <w:pPr>
              <w:spacing w:after="0"/>
              <w:rPr>
                <w:sz w:val="1"/>
                <w:szCs w:val="1"/>
                <w:color w:val="auto"/>
              </w:rPr>
            </w:pPr>
          </w:p>
        </w:tc>
      </w:t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Entities affiliated with The Founders Fund</w:t>
            </w:r>
            <w:r>
              <w:rPr>
                <w:rFonts w:ascii="Arial" w:cs="Arial" w:eastAsia="Arial" w:hAnsi="Arial"/>
                <w:sz w:val="15"/>
                <w:szCs w:val="15"/>
                <w:color w:val="auto"/>
              </w:rPr>
              <w:t>(4)</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122,153</w:t>
            </w:r>
          </w:p>
        </w:tc>
        <w:tc>
          <w:tcPr>
            <w:tcW w:w="1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999,993.46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886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35"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Dustin Moskovitz Trust is affiliated with Mr. Moskovitz.</w:t>
      </w:r>
    </w:p>
    <w:p>
      <w:pPr>
        <w:ind w:left="460" w:right="440" w:hanging="452"/>
        <w:spacing w:after="0" w:line="221" w:lineRule="auto"/>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Generation IM Climate Solutions Fund II, L.P. is a greater than 5% stockholder, and Colin le Duc, a former member of our board of directors, is a partner of Generation Investment Management LLP, an affiliate of Generation IM Climate Solutions Fund II, L.P.</w:t>
      </w:r>
    </w:p>
    <w:p>
      <w:pPr>
        <w:ind w:left="460" w:right="780" w:hanging="452"/>
        <w:spacing w:after="0" w:line="221" w:lineRule="auto"/>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Benchmark Capital Partners VI, L.P. is a greater than 5% stockholder, and Matthew Cohler, a member of our board of directors, is a managing member of Benchmark Capital Management Co. VI, L.L.C., the general partner of Benchmark Capital Partners VI, L.P.</w:t>
      </w:r>
    </w:p>
    <w:p>
      <w:pPr>
        <w:ind w:left="460" w:hanging="452"/>
        <w:spacing w:after="0"/>
        <w:tabs>
          <w:tab w:leader="none" w:pos="4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Consists of The Founders Fund IV, LP and The Founders Fund IV Principals Fund, LP., which together beneficially hold greater than 5% of our capital stock.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Mandatory Convertible Promissory Note Financing</w:t>
      </w:r>
    </w:p>
    <w:p>
      <w:pPr>
        <w:spacing w:after="0" w:line="121"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In January 2020, we issued and sold to the Dustin Moskovitz Trust an unsecured senior mandatory convertible promissory note in the aggregate principal amount of $300.0 million, or the 2020 Note. The Dustin Moskovitz Trust is an affiliated trust of Mr. Moskovitz. The 2020 Note accrues interest at a rate of 3.5% per annum, which will compound annually and (other than in connection with our bankruptcy, insolvency, or other similar events) will mandatorily convert into shares of our Class B common stock. The 2020 Note matures on January 30, 2025, or the Maturity Date, and on the Maturity Date, depending on the trading price of our Class A common stock, we will issue between 11,282,390 and 18,051,810 shares of our Class B common stock upon mandatory conversion of the 2020 Note, subject to customary anti-dilution and other adjustments. However, we may convert the 2020 Note in advance of the Maturity Date, at our option, and issue the lesser number of shares described above prior to the Maturity Date if the trading price of our Class A common stock exceeds $31.58 per share (subject to customary anti-dilution and other adjustments in connection with certain extraordinary transactions) for 20 or more trading days in the 30 consecutive trading day period ending on the last trading day of the immediately preceding calendar quarter. For a more complete description of the 2020 Note, please refer to the section titled “Description of Capital Stock” or to the 2020 Note, which is included as an exhibit to the registration statement of which this prospectus forms a part.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Transfers</w:t>
      </w:r>
    </w:p>
    <w:p>
      <w:pPr>
        <w:spacing w:after="0" w:line="12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On July 23, 2018, entities affiliated with Mr. Moskovitz purchased an aggregate of 58,602 shares of our outstanding Series C preferred stock from a stockholder, at a purchase price of $5.23 per share, for an aggregate purchase price of approximately $0.3 million.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459" w:right="3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On September 11, 2019, entities affiliated with Mr. Moskovitz purchased an aggregate of 2,344,093 shares of our outstanding Series C preferred stock and 1,777,388 shares of our outstanding Series D preferred stock from other entities affiliated with Mr. Moskovitz, for an aggregate purchase price of approximately $24.7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Offers</w:t>
      </w:r>
    </w:p>
    <w:p>
      <w:pPr>
        <w:spacing w:after="0" w:line="121" w:lineRule="exact"/>
        <w:rPr>
          <w:sz w:val="20"/>
          <w:szCs w:val="20"/>
          <w:color w:val="auto"/>
        </w:rPr>
      </w:pPr>
    </w:p>
    <w:p>
      <w:pPr>
        <w:ind w:right="160" w:firstLine="449"/>
        <w:spacing w:after="0" w:line="275" w:lineRule="auto"/>
        <w:rPr>
          <w:sz w:val="20"/>
          <w:szCs w:val="20"/>
          <w:color w:val="auto"/>
        </w:rPr>
      </w:pPr>
      <w:r>
        <w:rPr>
          <w:rFonts w:ascii="Arial" w:cs="Arial" w:eastAsia="Arial" w:hAnsi="Arial"/>
          <w:sz w:val="17"/>
          <w:szCs w:val="17"/>
          <w:color w:val="auto"/>
        </w:rPr>
        <w:t>In July 2016, we entered into a participation agreement with the Dustin Moskovitz Trust, pursuant to which we agreed to waive certain transfer restrictions in connection with a tender offer that the Dustin Moskovitz Trust proposed to commence. In August 2016, the Dustin Moskovitz Trust conducted a tender offer for shares of our then outstanding Class A common stock and Class B common stock from our stockholders and purchased an aggregate of approximately 1.8 million shares of our outstanding Class A common stock and Class B common stock from our stockholders, at a purchase price of $3.84 per share, for an aggregate purchase price of approximately $6.9 million.</w:t>
      </w:r>
    </w:p>
    <w:p>
      <w:pPr>
        <w:spacing w:after="0" w:line="176"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In April 2018, we entered into a participation agreement with the Dustin Moskovitz Trust, pursuant to which we agreed to waive certain transfer restrictions in connection with a tender offer that the Dustin Moskovitz Trust proposed to commence. In June 2018, the Dustin Moskovitz Trust conducted a tender offer for shares of our outstanding Class A common stock and Class B common stock from our stockholders and purchased an aggregate of approximately 1.5 million shares of our outstanding Class A common stock and Class B common stock from our stockholders, at a purchase price of $4.70 per share, for an aggregate purchase price of approximately $7.1 million. Chris Farinacci, our Chief Operating Officer, sold an aggregate of 212,766 shares of our outstanding Class B common stock for an aggregate purchase price of approximately $1.0 million in the tender offer.</w:t>
      </w:r>
    </w:p>
    <w:p>
      <w:pPr>
        <w:spacing w:after="0" w:line="164" w:lineRule="exact"/>
        <w:rPr>
          <w:sz w:val="20"/>
          <w:szCs w:val="20"/>
          <w:color w:val="auto"/>
        </w:rPr>
      </w:pPr>
    </w:p>
    <w:p>
      <w:pPr>
        <w:ind w:right="200" w:firstLine="449"/>
        <w:spacing w:after="0" w:line="290" w:lineRule="auto"/>
        <w:rPr>
          <w:sz w:val="20"/>
          <w:szCs w:val="20"/>
          <w:color w:val="auto"/>
        </w:rPr>
      </w:pPr>
      <w:r>
        <w:rPr>
          <w:rFonts w:ascii="Arial" w:cs="Arial" w:eastAsia="Arial" w:hAnsi="Arial"/>
          <w:sz w:val="16"/>
          <w:szCs w:val="16"/>
          <w:color w:val="auto"/>
        </w:rPr>
        <w:t>In September 2019, we entered into a participation agreement with an entity affiliated with Lead Edge Capital, LEC Asana Holdings, LLC; 8VC Co-Invest Fund I, L.P.; WiL Fund I, L.P.; and Tiger Global Private Investment Partners XI, L.P. and an affiliate thereof, pursuant to which we agreed to waive certain transfer restrictions in connection with a tender offer that such parties proposed to commence. In October 2019, these parties conducted a tender offer for shares of our outstanding Class B common stock and Class A common stock from our stockholders and purchased an aggregate of approximately 4.6 million shares of our outstanding Class A common stock and Class B common stock, at a purchase price of $15.82 per share, for an aggregate purchase price of approximately $73.5 million. While Lorrie Norrington, a member of our board of directors, is an operating partner of Lead Edge Capital, she is not an affiliate of Lead Edge Capital. Chris Farinacci and Tim Wan, our Chief Financial Officer, sold 357,969 and 200,000 shares of our outstanding Class B common stock, respectively, for an aggregate purchase price of approximately $8.8 million in the tender offer.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Voting, and Right of First Refusal Agreements</w:t>
      </w:r>
    </w:p>
    <w:p>
      <w:pPr>
        <w:spacing w:after="0" w:line="121"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In connection with our preferred stock financings, we entered into investors’ rights, voting, and right of first refusal and co-sale agreements containing registration rights, voting rights, and rights of first refusal, among other things, with certain holders of our preferred stock and certain holders of our common stock. The parties to these agreements include entities affiliated with Generation IM Climate Solutions Fund II, L.P., Benchmark Capital Partners VI, L.P., and The Founders Fund, each of which owns more than 5% of our outstanding capital stock, entities affiliated with Mr. Moskovitz and our directors, Adam D’Angelo and Justin Rosenstein. These stockholder agreements will terminate upon the effectiveness of the registration statement of which this prospectus forms a part, except for the registration rights granted under our investors’ rights agreement, as more fully described in “Description of Capital Stock—Registration Rights.” Since February 1, 2017, we have waived our right of first refusal in connection with the sale of certain shares of our capital stock. See the section titled “Principal and Registered Stockholders” for additional information regarding beneficial ownership of our capital stock.</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320" w:top="459" w:right="3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Guaranty of Office Lease</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February 2019, Mr. Moskovitz entered into a personal guaranty in favor of the landlord under the office lease for our office space located at 633 Folsom Street, San Francisco, California, in which he has agreed to guarantee unconditionally the full and prompt payment and performance of our obligations to the landlord under the initial 148-month term of the office lease. In addition, we entered into a reimbursement agreement with Mr. Moskovitz which provides, among other things, that we will agree to (i) assign the office lease to Mr. Moskovitz in the event that we fail to reimburse Mr. Moskovitz for certain amounts owed under the reimbursement agreement within 60 days of Mr. Moskovitz’s request therefor, (ii) not amend the office lease in any way that could increase Mr. Moskovitz’s potential obligations thereunder without the prior written consent of Mr. Moskovitz, and (iii) endeavor to find a replacement guarantor in the event that Mr. Moskovitz no longer controls at least 20% of our voting securities, in each case, subject to the terms and conditions therein.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Parties</w:t>
      </w:r>
    </w:p>
    <w:p>
      <w:pPr>
        <w:spacing w:after="0" w:line="121"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We intend to adopt a written related party transactions policy stating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party transaction with us without the review and approval or ratification, as applicable, of our audit committee or the disinterested members of our audit committee in the event it is inappropriate for any member of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must be presented to our audit committee or the disinterested members of our audit committee in the event it is inappropriate for any member of our audit committee to review such transaction due to a conflict of interest, for review, consideration, and approval or ratification, as applicable. In approving or rejecting any such proposal, we expect that our audit committee or the disinterested members of our audit committee in the event it is inappropriate for any member of our audit committee to review such transaction due to a conflict of interest, will consider the relevant facts and circumstances available and deemed relevant to the committee, including, but not limited to, whether the transaction is on terms no less favorable than terms generally available to an unaffiliated third party under the same or similar circumstances and the extent of the related party’s interest in the transaction.</w:t>
      </w:r>
    </w:p>
    <w:p>
      <w:pPr>
        <w:spacing w:after="0" w:line="186"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Although we have not had a written policy for the review and approval of transactions with related parties to date, our board of directors has historically reviewed and approved any transaction where a director or executive officer had a financial interest, including all of the transactions described above. Prior to approving such a transaction, the material facts as to a director’s or executive officer’s relationship or interest as to the agreement or transaction were disclosed to our board of directors. Our board of directors has taken this information into account when evaluating the transaction and in determining whether such transaction was fair to our company and in the best interest of all of our stockholders.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459" w:right="3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AND REGISTERED STOCKHOLDERS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w:t>
      </w:r>
    </w:p>
    <w:p>
      <w:pPr>
        <w:spacing w:after="0" w:line="131" w:lineRule="exact"/>
        <w:rPr>
          <w:sz w:val="20"/>
          <w:szCs w:val="20"/>
          <w:color w:val="auto"/>
        </w:rPr>
      </w:pPr>
    </w:p>
    <w:p>
      <w:pPr>
        <w:ind w:left="1000" w:hanging="547"/>
        <w:spacing w:after="0" w:line="263"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certain information with respect to the beneficial ownership of our common stock as of January 31, 2020, for: (i) each of our named executive officers; (ii) each of our directors; (iii) all of our directors and executive officers as a group; and (iv) each person known by us to be the beneficial owner of more than five percent of any class of our voting securities; and</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number of shares of common stock held by and registered for resale by means of this prospectus for the Registered Stockholders.</w:t>
      </w:r>
    </w:p>
    <w:p>
      <w:pPr>
        <w:spacing w:after="0" w:line="237" w:lineRule="exact"/>
        <w:rPr>
          <w:sz w:val="20"/>
          <w:szCs w:val="20"/>
          <w:color w:val="auto"/>
        </w:rPr>
      </w:pPr>
    </w:p>
    <w:p>
      <w:pPr>
        <w:ind w:right="20" w:firstLine="449"/>
        <w:spacing w:after="0" w:line="284" w:lineRule="auto"/>
        <w:rPr>
          <w:sz w:val="20"/>
          <w:szCs w:val="20"/>
          <w:color w:val="auto"/>
        </w:rPr>
      </w:pPr>
      <w:r>
        <w:rPr>
          <w:rFonts w:ascii="Arial" w:cs="Arial" w:eastAsia="Arial" w:hAnsi="Arial"/>
          <w:sz w:val="16"/>
          <w:szCs w:val="16"/>
          <w:color w:val="auto"/>
        </w:rPr>
        <w:t>The Registered Stockholders include (i) our affiliates and certain other stockholders with “restricted securities” (as defined in Rule 144 under the Securities Act) who, because of their status as affiliates pursuant to Rule 144 or because they acquired their shares of common stock from an affiliate or from us within the prior 12 months, would be unable to sell their securities pursuant to Rule 144 until we have been subject to the reporting requirements of Section 13 or Section 15(d) of the Exchange Act for a period of at least 90 days, and (ii) our non-executive officer service providers who acquired shares from us within the prior 12 months under Rule 701 and hold “restricted securities” (as defined in Rule 144 under the Securities Act). The Registered Stockholders may, or may not, elect to sell their shares of Class A common stock covered by this prospectus, as and to the extent they may determine. Such</w:t>
      </w:r>
    </w:p>
    <w:p>
      <w:pPr>
        <w:spacing w:after="0" w:line="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sales, if any, will be made through brokerage transactions on the at prevailing market prices. As such, we will have no input if and when any Registered Stockholder may, or may not, elect to sell their shares of common stock or the prices at which any such sales may occur. Prior to any sales of shares of Class A common stock, Registered Stockholders who hold Class B common stock must convert their shares of Class B common stock into shares of Class A common stock. See the section titled “Plan of Distribution.”</w:t>
      </w:r>
    </w:p>
    <w:p>
      <w:pPr>
        <w:spacing w:after="0" w:line="193"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Information concerning the Registered Stockholders may change from time to time and any changed information will be set forth in supplements to this prospectus, if and when necessary. Because the Registered Stockholders who hold Class B common stock may convert their shares of Class B common stock into Class A common stock at any time and the Registered Stockholders may sell all, some, or none of the shares of Class A common stock covered by this prospectus, we cannot determine the number of such shares of Class A common stock that will be sold by the Registered Stockholders, or the amount or percentage of shares of common stock that will be held by the Registered Stockholders, either as Class A common stock or Class B common stock, upon consummation of any particular sale. In addition, the Registered Stockholders listed in the table below may have sold, transferred, or otherwise disposed of, or may sell, transfer, or otherwise dispose of, at any time and from time to time, shares of common stock in transactions exempt from the registration requirements of the Securities Act, after the date on which they provided the information set forth in the table below. The Registered Stockholders have not, nor have they within the past three years had, any position, office, or other material relationship with us, other than as disclosed in this prospectus. See the sections titled “Management” and “Certain Relationships and Related Party Transactions” for further information regarding the Registered Stockholders.</w:t>
      </w:r>
    </w:p>
    <w:p>
      <w:pPr>
        <w:spacing w:after="0" w:line="182"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After the listing of our Class A common stock on the , certain of the Registered Stockholders are entitled to registration rights with respect to their shares of Class B common stock, as described in the section titled “Description of Capital Stock—Registration Rights” at any time beginning 180 days after the date that the registration statement of which this prospectus forms a part is declared effective by the SEC.</w:t>
      </w:r>
    </w:p>
    <w:p>
      <w:pPr>
        <w:spacing w:after="0" w:line="165"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We currently intend to use our reasonable efforts to keep the Registration Statement effective for a period of 90 days after the effectiveness of the Registration Statement. As a result, we have registered shares of Class A common stock and Class B common stock currently held by Registered Stockholders, as well as shares of Class A common stock of our affiliates that can vest and settle while the registration statement of which this prospectus forms a part is effective.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459" w:right="3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firstLine="449"/>
        <w:spacing w:after="0" w:line="291" w:lineRule="auto"/>
        <w:rPr>
          <w:sz w:val="20"/>
          <w:szCs w:val="20"/>
          <w:color w:val="auto"/>
        </w:rPr>
      </w:pPr>
      <w:r>
        <w:rPr>
          <w:rFonts w:ascii="Arial" w:cs="Arial" w:eastAsia="Arial" w:hAnsi="Arial"/>
          <w:sz w:val="16"/>
          <w:szCs w:val="16"/>
          <w:color w:val="auto"/>
        </w:rPr>
        <w:t>We are not party to any arrangement with any Registered Stockholder or any broker-dealer with respect to sales of the shares of Class A common stock by the Registered Stockholders. However, we have engaged financial advisors with respect to certain other matters relating to the listing of our</w:t>
      </w:r>
    </w:p>
    <w:p>
      <w:pPr>
        <w:spacing w:after="0"/>
        <w:tabs>
          <w:tab w:leader="none" w:pos="2460" w:val="left"/>
        </w:tabs>
        <w:rPr>
          <w:sz w:val="20"/>
          <w:szCs w:val="20"/>
          <w:color w:val="auto"/>
        </w:rPr>
      </w:pPr>
      <w:r>
        <w:rPr>
          <w:rFonts w:ascii="Arial" w:cs="Arial" w:eastAsia="Arial" w:hAnsi="Arial"/>
          <w:sz w:val="18"/>
          <w:szCs w:val="18"/>
          <w:color w:val="auto"/>
        </w:rPr>
        <w:t>Class A common stock on</w:t>
      </w:r>
      <w:r>
        <w:rPr>
          <w:sz w:val="20"/>
          <w:szCs w:val="20"/>
          <w:color w:val="auto"/>
        </w:rPr>
        <w:tab/>
      </w:r>
      <w:r>
        <w:rPr>
          <w:rFonts w:ascii="Arial" w:cs="Arial" w:eastAsia="Arial" w:hAnsi="Arial"/>
          <w:sz w:val="16"/>
          <w:szCs w:val="16"/>
          <w:color w:val="auto"/>
        </w:rPr>
        <w:t>. See the section titled “Plan of Distribution.”</w:t>
      </w:r>
    </w:p>
    <w:p>
      <w:pPr>
        <w:spacing w:after="0" w:line="211" w:lineRule="exact"/>
        <w:rPr>
          <w:sz w:val="20"/>
          <w:szCs w:val="20"/>
          <w:color w:val="auto"/>
        </w:rPr>
      </w:pPr>
    </w:p>
    <w:p>
      <w:pPr>
        <w:ind w:right="80" w:firstLine="449"/>
        <w:spacing w:after="0" w:line="290"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our common stock subject to options that are currently exercisable or exercisable within 60 days of January 31, 2020 to be outstanding and to be beneficially owned by the person holding the option for the purpose of computing the percentage ownership of that person. We have deemed shares of our common stock subject to RSUs for which the service condition has been satisfied or would be satisfied within 60 days of January 31, 2020 to be outstanding and to be beneficially owned by the person holding the RSUs for the purpose of computing the percentage ownership of that person. However, we did not deem these shares subject to stock options or RSUs outstanding for the purpose of computing the percentage ownership of any other person.</w:t>
      </w:r>
    </w:p>
    <w:p>
      <w:pPr>
        <w:spacing w:after="0" w:line="165" w:lineRule="exact"/>
        <w:rPr>
          <w:sz w:val="20"/>
          <w:szCs w:val="20"/>
          <w:color w:val="auto"/>
        </w:rPr>
      </w:pPr>
    </w:p>
    <w:p>
      <w:pPr>
        <w:ind w:right="220" w:firstLine="449"/>
        <w:spacing w:after="0" w:line="275" w:lineRule="auto"/>
        <w:rPr>
          <w:sz w:val="20"/>
          <w:szCs w:val="20"/>
          <w:color w:val="auto"/>
        </w:rPr>
      </w:pPr>
      <w:r>
        <w:rPr>
          <w:rFonts w:ascii="Arial" w:cs="Arial" w:eastAsia="Arial" w:hAnsi="Arial"/>
          <w:sz w:val="17"/>
          <w:szCs w:val="17"/>
          <w:color w:val="auto"/>
        </w:rPr>
        <w:t>We have based percentage ownership of our common stock on 15,498,109 shares of our Class A common stock and 134,766,855 shares of our Class B common stock outstanding as of January 31, 2020, which includes 73,577,455 shares of Class B common stock resulting from the automatic conversion of all outstanding shares of our preferred stock upon the effectiveness of the registration statement of which this prospectus forms a part, as if this conversion had occurred as of January 31, 2020. Unless otherwise indicated, the address of each of the individuals and entities named below is c/o Asana, Inc., 1550 Bryant Street, Suite 200, San Francisco, California 94103.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Shares Beneficially Owned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Shares of</w:t>
            </w:r>
          </w:p>
        </w:tc>
        <w:tc>
          <w:tcPr>
            <w:tcW w:w="0" w:type="dxa"/>
            <w:vAlign w:val="bottom"/>
          </w:tcPr>
          <w:p>
            <w:pPr>
              <w:spacing w:after="0"/>
              <w:rPr>
                <w:sz w:val="1"/>
                <w:szCs w:val="1"/>
                <w:color w:val="auto"/>
              </w:rPr>
            </w:pPr>
          </w:p>
        </w:tc>
      </w:tr>
      <w:tr>
        <w:trPr>
          <w:trHeight w:val="128"/>
        </w:trPr>
        <w:tc>
          <w:tcPr>
            <w:tcW w:w="16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6"/>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7"/>
              </w:rPr>
              <w:t>Percentage</w:t>
            </w:r>
          </w:p>
        </w:tc>
        <w:tc>
          <w:tcPr>
            <w:tcW w:w="82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89"/>
              </w:rPr>
              <w:t>Class A</w:t>
            </w:r>
          </w:p>
        </w:tc>
        <w:tc>
          <w:tcPr>
            <w:tcW w:w="0" w:type="dxa"/>
            <w:vAlign w:val="bottom"/>
          </w:tcPr>
          <w:p>
            <w:pPr>
              <w:spacing w:after="0"/>
              <w:rPr>
                <w:sz w:val="1"/>
                <w:szCs w:val="1"/>
                <w:color w:val="auto"/>
              </w:rPr>
            </w:pPr>
          </w:p>
        </w:tc>
      </w:tr>
      <w:tr>
        <w:trPr>
          <w:trHeight w:val="185"/>
        </w:trPr>
        <w:tc>
          <w:tcPr>
            <w:tcW w:w="16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Class A</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540"/>
              <w:spacing w:after="0"/>
              <w:rPr>
                <w:sz w:val="20"/>
                <w:szCs w:val="20"/>
                <w:color w:val="auto"/>
              </w:rPr>
            </w:pPr>
            <w:r>
              <w:rPr>
                <w:rFonts w:ascii="Arial" w:cs="Arial" w:eastAsia="Arial" w:hAnsi="Arial"/>
                <w:sz w:val="14"/>
                <w:szCs w:val="14"/>
                <w:b w:val="1"/>
                <w:bCs w:val="1"/>
                <w:color w:val="auto"/>
              </w:rPr>
              <w:t>Class B</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of Total</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27"/>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2"/>
            <w:vMerge w:val="restart"/>
          </w:tcPr>
          <w:p>
            <w:pPr>
              <w:jc w:val="center"/>
              <w:ind w:right="280"/>
              <w:spacing w:after="0" w:line="113" w:lineRule="exact"/>
              <w:rPr>
                <w:sz w:val="20"/>
                <w:szCs w:val="20"/>
                <w:color w:val="auto"/>
              </w:rPr>
            </w:pPr>
            <w:r>
              <w:rPr>
                <w:rFonts w:ascii="Arial" w:cs="Arial" w:eastAsia="Arial" w:hAnsi="Arial"/>
                <w:sz w:val="13"/>
                <w:szCs w:val="13"/>
                <w:b w:val="1"/>
                <w:bCs w:val="1"/>
                <w:color w:val="auto"/>
              </w:rPr>
              <w:t>Voting</w:t>
            </w:r>
          </w:p>
        </w:tc>
        <w:tc>
          <w:tcPr>
            <w:tcW w:w="820" w:type="dxa"/>
            <w:vAlign w:val="bottom"/>
            <w:gridSpan w:val="2"/>
            <w:vMerge w:val="restart"/>
          </w:tcPr>
          <w:p>
            <w:pPr>
              <w:jc w:val="center"/>
              <w:ind w:right="60"/>
              <w:spacing w:after="0" w:line="113" w:lineRule="exact"/>
              <w:rPr>
                <w:sz w:val="20"/>
                <w:szCs w:val="20"/>
                <w:color w:val="auto"/>
              </w:rPr>
            </w:pPr>
            <w:r>
              <w:rPr>
                <w:rFonts w:ascii="Arial" w:cs="Arial" w:eastAsia="Arial" w:hAnsi="Arial"/>
                <w:sz w:val="13"/>
                <w:szCs w:val="13"/>
                <w:b w:val="1"/>
                <w:bCs w:val="1"/>
                <w:color w:val="auto"/>
                <w:w w:val="97"/>
              </w:rPr>
              <w:t>Stock being</w:t>
            </w:r>
          </w:p>
        </w:tc>
        <w:tc>
          <w:tcPr>
            <w:tcW w:w="0" w:type="dxa"/>
            <w:vAlign w:val="bottom"/>
          </w:tcPr>
          <w:p>
            <w:pPr>
              <w:spacing w:after="0"/>
              <w:rPr>
                <w:sz w:val="1"/>
                <w:szCs w:val="1"/>
                <w:color w:val="auto"/>
              </w:rPr>
            </w:pPr>
          </w:p>
        </w:tc>
      </w:tr>
      <w:tr>
        <w:trPr>
          <w:trHeight w:val="65"/>
        </w:trPr>
        <w:tc>
          <w:tcPr>
            <w:tcW w:w="5620" w:type="dxa"/>
            <w:vAlign w:val="bottom"/>
            <w:gridSpan w:val="2"/>
            <w:vMerge w:val="continue"/>
          </w:tcPr>
          <w:p>
            <w:pPr>
              <w:spacing w:after="0"/>
              <w:rPr>
                <w:sz w:val="5"/>
                <w:szCs w:val="5"/>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Number</w:t>
            </w:r>
          </w:p>
        </w:tc>
        <w:tc>
          <w:tcPr>
            <w:tcW w:w="44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w:t>
            </w:r>
          </w:p>
        </w:tc>
        <w:tc>
          <w:tcPr>
            <w:tcW w:w="42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Number</w:t>
            </w:r>
          </w:p>
        </w:tc>
        <w:tc>
          <w:tcPr>
            <w:tcW w:w="4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562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0"/>
              </w:rPr>
              <w:t>Power</w:t>
            </w:r>
          </w:p>
        </w:tc>
        <w:tc>
          <w:tcPr>
            <w:tcW w:w="8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8"/>
              </w:rPr>
              <w:t>Registered</w:t>
            </w: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shd w:val="clear" w:color="auto" w:fill="000000"/>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right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Named Executive Officers and Directors:</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Dustin A. Moskovitz</w:t>
            </w:r>
            <w:r>
              <w:rPr>
                <w:rFonts w:ascii="Arial" w:cs="Arial" w:eastAsia="Arial" w:hAnsi="Arial"/>
                <w:sz w:val="15"/>
                <w:szCs w:val="15"/>
                <w:color w:val="auto"/>
              </w:rPr>
              <w:t>(1)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1,561,779</w:t>
            </w:r>
          </w:p>
        </w:tc>
        <w:tc>
          <w:tcPr>
            <w:tcW w:w="860" w:type="dxa"/>
            <w:vAlign w:val="bottom"/>
            <w:tcBorders>
              <w:right w:val="single" w:sz="8" w:color="auto"/>
            </w:tcBorders>
            <w:gridSpan w:val="3"/>
          </w:tcPr>
          <w:p>
            <w:pPr>
              <w:jc w:val="right"/>
              <w:ind w:right="4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52,930,914</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39.3</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38.9</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Eleanor Lacey</w:t>
            </w:r>
            <w:r>
              <w:rPr>
                <w:rFonts w:ascii="Arial" w:cs="Arial" w:eastAsia="Arial" w:hAnsi="Arial"/>
                <w:sz w:val="15"/>
                <w:szCs w:val="15"/>
                <w:color w:val="auto"/>
              </w:rPr>
              <w:t>(2)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400,000</w:t>
            </w:r>
          </w:p>
        </w:tc>
        <w:tc>
          <w:tcPr>
            <w:tcW w:w="860" w:type="dxa"/>
            <w:vAlign w:val="bottom"/>
            <w:tcBorders>
              <w:right w:val="single" w:sz="8" w:color="auto"/>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Tim Wan</w:t>
            </w:r>
            <w:r>
              <w:rPr>
                <w:rFonts w:ascii="Arial" w:cs="Arial" w:eastAsia="Arial" w:hAnsi="Arial"/>
                <w:sz w:val="15"/>
                <w:szCs w:val="15"/>
                <w:color w:val="auto"/>
              </w:rPr>
              <w:t>(3)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1,748,059</w:t>
            </w:r>
          </w:p>
        </w:tc>
        <w:tc>
          <w:tcPr>
            <w:tcW w:w="860" w:type="dxa"/>
            <w:vAlign w:val="bottom"/>
            <w:tcBorders>
              <w:right w:val="single" w:sz="8" w:color="auto"/>
            </w:tcBorders>
            <w:gridSpan w:val="3"/>
          </w:tcPr>
          <w:p>
            <w:pPr>
              <w:jc w:val="right"/>
              <w:ind w:right="4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Justin Rosenstein</w:t>
            </w:r>
            <w:r>
              <w:rPr>
                <w:rFonts w:ascii="Arial" w:cs="Arial" w:eastAsia="Arial" w:hAnsi="Arial"/>
                <w:sz w:val="15"/>
                <w:szCs w:val="15"/>
                <w:color w:val="auto"/>
              </w:rPr>
              <w:t>(4)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575,984</w:t>
            </w:r>
          </w:p>
        </w:tc>
        <w:tc>
          <w:tcPr>
            <w:tcW w:w="860" w:type="dxa"/>
            <w:vAlign w:val="bottom"/>
            <w:tcBorders>
              <w:right w:val="single" w:sz="8" w:color="auto"/>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23,793,011</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Adam D’Angelo</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1,126,580</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Sydney Carey</w:t>
            </w:r>
            <w:r>
              <w:rPr>
                <w:rFonts w:ascii="Arial" w:cs="Arial" w:eastAsia="Arial" w:hAnsi="Arial"/>
                <w:sz w:val="15"/>
                <w:szCs w:val="15"/>
                <w:color w:val="auto"/>
              </w:rPr>
              <w:t>(5)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860" w:type="dxa"/>
            <w:vAlign w:val="bottom"/>
            <w:tcBorders>
              <w:right w:val="single" w:sz="8" w:color="auto"/>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Matthew Cohler</w:t>
            </w:r>
            <w:r>
              <w:rPr>
                <w:rFonts w:ascii="Arial" w:cs="Arial" w:eastAsia="Arial" w:hAnsi="Arial"/>
                <w:sz w:val="15"/>
                <w:szCs w:val="15"/>
                <w:color w:val="auto"/>
              </w:rPr>
              <w:t>(6)</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14,012,703</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Anne Raimondi</w:t>
            </w:r>
            <w:r>
              <w:rPr>
                <w:rFonts w:ascii="Arial" w:cs="Arial" w:eastAsia="Arial" w:hAnsi="Arial"/>
                <w:sz w:val="15"/>
                <w:szCs w:val="15"/>
                <w:color w:val="auto"/>
              </w:rPr>
              <w:t>(7)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860" w:type="dxa"/>
            <w:vAlign w:val="bottom"/>
            <w:tcBorders>
              <w:right w:val="single" w:sz="8" w:color="auto"/>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Lorrie Norrington</w:t>
            </w:r>
            <w:r>
              <w:rPr>
                <w:rFonts w:ascii="Arial" w:cs="Arial" w:eastAsia="Arial" w:hAnsi="Arial"/>
                <w:sz w:val="15"/>
                <w:szCs w:val="15"/>
                <w:color w:val="auto"/>
              </w:rPr>
              <w:t>(8)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860" w:type="dxa"/>
            <w:vAlign w:val="bottom"/>
            <w:tcBorders>
              <w:right w:val="single" w:sz="8" w:color="auto"/>
            </w:tcBorders>
            <w:gridSpan w:val="3"/>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(10 persons)</w:t>
            </w:r>
            <w:r>
              <w:rPr>
                <w:rFonts w:ascii="Arial" w:cs="Arial" w:eastAsia="Arial" w:hAnsi="Arial"/>
                <w:sz w:val="15"/>
                <w:szCs w:val="15"/>
                <w:color w:val="auto"/>
              </w:rPr>
              <w:t>(9)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6,913,680</w:t>
            </w:r>
          </w:p>
        </w:tc>
        <w:tc>
          <w:tcPr>
            <w:tcW w:w="860" w:type="dxa"/>
            <w:vAlign w:val="bottom"/>
            <w:tcBorders>
              <w:right w:val="single" w:sz="8" w:color="auto"/>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91,863,208</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68.2</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67.7</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5% Stockholders: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Benchmark Capital Partners VI, L.P.</w:t>
            </w:r>
            <w:r>
              <w:rPr>
                <w:rFonts w:ascii="Arial" w:cs="Arial" w:eastAsia="Arial" w:hAnsi="Arial"/>
                <w:sz w:val="15"/>
                <w:szCs w:val="15"/>
                <w:color w:val="auto"/>
              </w:rPr>
              <w:t>(6)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14,012,703</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Generation IM Climate Solutions Fund II, L.P.</w:t>
            </w:r>
            <w:r>
              <w:rPr>
                <w:rFonts w:ascii="Arial" w:cs="Arial" w:eastAsia="Arial" w:hAnsi="Arial"/>
                <w:sz w:val="15"/>
                <w:szCs w:val="15"/>
                <w:color w:val="auto"/>
              </w:rPr>
              <w:t>(10)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9,751,944</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The Founders Fund</w:t>
            </w:r>
            <w:r>
              <w:rPr>
                <w:rFonts w:ascii="Arial" w:cs="Arial" w:eastAsia="Arial" w:hAnsi="Arial"/>
                <w:sz w:val="15"/>
                <w:szCs w:val="15"/>
                <w:color w:val="auto"/>
              </w:rPr>
              <w:t>(11)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8,713,329</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Other Registered Stockholders: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Non-Executive Officer and Non-Director Service Providers Holding</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2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All Other Registered Stockholders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0"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shares of common stock.</w:t>
      </w:r>
    </w:p>
    <w:p>
      <w:pPr>
        <w:ind w:left="460" w:right="340" w:hanging="452"/>
        <w:spacing w:after="0" w:line="237" w:lineRule="auto"/>
        <w:tabs>
          <w:tab w:leader="none" w:pos="4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(a) 29,450,115 shares held of record by the Dustin Moskovitz Trust, (b) 2,604,170 shares held of record by the Dustin Moskovitz Roth IRA, and (c) 42,578 shares held of record by Moskovitz Investment Holdings, LLC. Mr. Moskovitz is the trustee of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459" w:right="3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right="80"/>
        <w:spacing w:after="0" w:line="242" w:lineRule="auto"/>
        <w:rPr>
          <w:sz w:val="20"/>
          <w:szCs w:val="20"/>
          <w:color w:val="auto"/>
        </w:rPr>
      </w:pPr>
      <w:r>
        <w:rPr>
          <w:rFonts w:ascii="Arial" w:cs="Arial" w:eastAsia="Arial" w:hAnsi="Arial"/>
          <w:sz w:val="13"/>
          <w:szCs w:val="13"/>
          <w:color w:val="auto"/>
        </w:rPr>
        <w:t>Dustin Moskovitz Trust. Therefore, Mr. Moskovitz may be deemed to have voting power and dispositive power over the shares held by the Dustin Moskovitz Trust. Mr. Moskovitz may be deemed to have voting power and dispositive power over the shares held by the Dustin Moskovitz Roth IRA. Mr. Moskovitz, Adam Moskovitz, and Richard Druckman, the managing members of Moskovitz Investment Holdings, LLC, have shared voting and dispositive power with respect to these shares. The address for Moskovitz Investment Holdings, LLC is 394 Pacific Avenue, 2nd Fl, San Francisco, CA 94111. Does not include between 11,282,390 and 18,051,810 shares of Class B common stock that are issuable on January 30, 2025, the maturity date of a senior mandatory convertible promissory note dated January 30, 2020 held by the Dustin Moskovitz Trust.</w:t>
      </w:r>
    </w:p>
    <w:p>
      <w:pPr>
        <w:spacing w:after="0" w:line="1" w:lineRule="exact"/>
        <w:rPr>
          <w:sz w:val="20"/>
          <w:szCs w:val="20"/>
          <w:color w:val="auto"/>
        </w:rPr>
      </w:pPr>
    </w:p>
    <w:p>
      <w:pPr>
        <w:ind w:left="460" w:right="300" w:hanging="452"/>
        <w:spacing w:after="0" w:line="221" w:lineRule="auto"/>
        <w:tabs>
          <w:tab w:leader="none" w:pos="4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(a) 25,000 shares of Class A common stock, all of which are unvested and subject to repurchase by us, and (b) 375,000 shares of Class A common stock issuable upon the exercise of stock options that are exercisable within 60 days of January 31, 2020, all of which are unvested and subject to repurchase by us.</w:t>
      </w:r>
    </w:p>
    <w:p>
      <w:pPr>
        <w:ind w:left="460" w:right="460" w:hanging="452"/>
        <w:spacing w:after="0" w:line="221" w:lineRule="auto"/>
        <w:tabs>
          <w:tab w:leader="none" w:pos="4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(a) 412,500 shares of Class A common stock, and (b) 1,335,559 shares of Class A common stock issuable upon the exercise of stock options that are exercisable within 60 days of January 31, 2020, of which 555,994 shares are unvested and subject to repurchase by us.</w:t>
      </w:r>
    </w:p>
    <w:p>
      <w:pPr>
        <w:ind w:left="460" w:right="40" w:hanging="452"/>
        <w:spacing w:after="0" w:line="221" w:lineRule="auto"/>
        <w:tabs>
          <w:tab w:leader="none" w:pos="4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(a) 23,793,011 shares of Class B common stock held directly by Mr. Rosenstein and (b) 575,984 shares of Class A common stock issuable to Mr. Rosenstein upon the exercise of stock options that are exercisable within 60 days of January 31, 2020.</w:t>
      </w:r>
    </w:p>
    <w:p>
      <w:pPr>
        <w:ind w:left="460" w:hanging="452"/>
        <w:spacing w:after="0" w:line="221" w:lineRule="auto"/>
        <w:tabs>
          <w:tab w:leader="none" w:pos="4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50,000 shares of Class A common stock, of which 43,750 shares are unvested and subject to repurchase by us.</w:t>
      </w:r>
    </w:p>
    <w:p>
      <w:pPr>
        <w:ind w:left="460" w:right="40" w:hanging="452"/>
        <w:spacing w:after="0" w:line="221" w:lineRule="auto"/>
        <w:tabs>
          <w:tab w:leader="none" w:pos="4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14,012,703 shares of Class B common stock held of record by Benchmark Capital Partners VI, L.P. or BCP VI, for itself and as nominee for Benchmark Founders’ Fund VI, L.P., or BFF VI, Benchmark Founders’ Fund VI-B, L.P., or BFF VI-B, and related individuals. Benchmark Capital Management Co. VI, L.L.C., or BCMC VI, is the general partner of each of BCP VI, BFF VI, and BFF VI-B. Matthew R. Cohler, one of our directors, Alexandre Balkanski, Bruce W. Dunlevie, J. William Gurley, Kevin R. Harvey, Robert C. Kagle, Mitchell H. Lasky, and Steven M. Spurlock are the managing members of BCMC VI and, therefore, may be deemed to hold voting and dispositive power over the shares held by BCP VI. The address of these entities is 2965 Woodside Road, Woodside, CA 94062.</w:t>
      </w:r>
    </w:p>
    <w:p>
      <w:pPr>
        <w:spacing w:after="0" w:line="1" w:lineRule="exact"/>
        <w:rPr>
          <w:rFonts w:ascii="Arial" w:cs="Arial" w:eastAsia="Arial" w:hAnsi="Arial"/>
          <w:sz w:val="14"/>
          <w:szCs w:val="14"/>
          <w:color w:val="auto"/>
        </w:rPr>
      </w:pPr>
    </w:p>
    <w:p>
      <w:pPr>
        <w:ind w:left="460" w:hanging="452"/>
        <w:spacing w:after="0" w:line="221" w:lineRule="auto"/>
        <w:tabs>
          <w:tab w:leader="none" w:pos="4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50,000 shares of Class A common stock, of which 37,500 shares are unvested and subject to repurchase by us.</w:t>
      </w:r>
    </w:p>
    <w:p>
      <w:pPr>
        <w:ind w:left="460" w:hanging="452"/>
        <w:spacing w:after="0" w:line="221" w:lineRule="auto"/>
        <w:tabs>
          <w:tab w:leader="none" w:pos="4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50,000 shares of Class A common stock, of which 43,750 shares are unvested and subject to repurchase by us.</w:t>
      </w:r>
    </w:p>
    <w:p>
      <w:pPr>
        <w:jc w:val="both"/>
        <w:ind w:left="460" w:hanging="452"/>
        <w:spacing w:after="0" w:line="221" w:lineRule="auto"/>
        <w:tabs>
          <w:tab w:leader="none" w:pos="4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(a) 2,302,467 shares of Class A common stock, of which 150,000 shares are unvested and subject to repurchase by us, (b) 91,863,208 shares of Class B common stock, and (c) 4,611,213 shares of Class A common stock issuable upon the exercise of stock options that are exercisable within 60 days of January 31, 2020, of which 1,722,927 shares are unvested and subject to repurchase by us.</w:t>
      </w:r>
    </w:p>
    <w:p>
      <w:pPr>
        <w:ind w:left="460" w:right="40" w:hanging="452"/>
        <w:spacing w:after="0" w:line="238" w:lineRule="auto"/>
        <w:tabs>
          <w:tab w:leader="none" w:pos="4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Consists of 9,751,944 shares of Class B common stock held of record by Generation IM Climate Solutions Fund II, L.P., or Generation Fund II. The general partner of Generation Fund II is Generation IM Climate Solutions II GP Ltd, which is a wholly owned subsidiary of Generation Investment Management LLP, or Generation Management. Generation Management serves as the investment manager of Generation Fund II. Generation Management, upon approval by its investment committee, makes investment decisions on behalf of Generation Fund II. Colin le Duc, a former member of our board of directors, Hans Mehn, and David Lowish are portfolio managers and make investment proposals on behalf of Generation Fund II. The address for Generation Fund II is P.O. Box 309, Ugland House, Grand Cayman, KY1-1104, Cayman Islands.</w:t>
      </w:r>
    </w:p>
    <w:p>
      <w:pPr>
        <w:spacing w:after="0" w:line="1" w:lineRule="exact"/>
        <w:rPr>
          <w:rFonts w:ascii="Arial" w:cs="Arial" w:eastAsia="Arial" w:hAnsi="Arial"/>
          <w:sz w:val="13"/>
          <w:szCs w:val="13"/>
          <w:color w:val="auto"/>
        </w:rPr>
      </w:pPr>
    </w:p>
    <w:p>
      <w:pPr>
        <w:ind w:left="460" w:right="180" w:hanging="452"/>
        <w:spacing w:after="0" w:line="237" w:lineRule="auto"/>
        <w:tabs>
          <w:tab w:leader="none" w:pos="4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(i) 6,595,990 shares held of record by The Founders Fund IV, LP and (ii) 2,117,339 shares held of record by The Founders Fund IV Principals Fund, LP. The address for the Founders Fund entities is One Letterman Drive, Building D, 5th Floor, San Francisco, CA 94129.</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459" w:right="3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The following description summarizes the most important terms of our capital stock, as they are expected to be in effect following the effectiveness of the registration statement of which this prospectus forms a part. We expect to adopt an amended and restated certificate of incorporation and amended and restated bylaws in connection with this registration,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our amended and restated investor rights’ agreement, which are or will be included as exhibits to the registration statement of which this prospectus forms a part, and to the applicable provisions of Delaware law. Following the effectiveness of the registration statement of which this prospectus forms a part, our authorized capital stock will consist of:</w:t>
      </w:r>
    </w:p>
    <w:p>
      <w:pPr>
        <w:spacing w:after="0" w:line="84" w:lineRule="exact"/>
        <w:rPr>
          <w:sz w:val="20"/>
          <w:szCs w:val="20"/>
          <w:color w:val="auto"/>
        </w:rPr>
      </w:pPr>
    </w:p>
    <w:p>
      <w:pPr>
        <w:ind w:left="1540" w:hanging="1087"/>
        <w:spacing w:after="0"/>
        <w:tabs>
          <w:tab w:leader="none" w:pos="1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shares of Class A common stock, $0.00001 par value per share,</w:t>
      </w:r>
    </w:p>
    <w:p>
      <w:pPr>
        <w:spacing w:after="0" w:line="130" w:lineRule="exact"/>
        <w:rPr>
          <w:rFonts w:ascii="Arial" w:cs="Arial" w:eastAsia="Arial" w:hAnsi="Arial"/>
          <w:sz w:val="18"/>
          <w:szCs w:val="18"/>
          <w:color w:val="auto"/>
        </w:rPr>
      </w:pPr>
    </w:p>
    <w:p>
      <w:pPr>
        <w:ind w:left="1540" w:hanging="1087"/>
        <w:spacing w:after="0"/>
        <w:tabs>
          <w:tab w:leader="none" w:pos="1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shares of Class B common stock, $0.00001 par value per share, and</w:t>
      </w:r>
    </w:p>
    <w:p>
      <w:pPr>
        <w:spacing w:after="0" w:line="130" w:lineRule="exact"/>
        <w:rPr>
          <w:rFonts w:ascii="Arial" w:cs="Arial" w:eastAsia="Arial" w:hAnsi="Arial"/>
          <w:sz w:val="18"/>
          <w:szCs w:val="18"/>
          <w:color w:val="auto"/>
        </w:rPr>
      </w:pPr>
    </w:p>
    <w:p>
      <w:pPr>
        <w:ind w:left="1540" w:hanging="1087"/>
        <w:spacing w:after="0"/>
        <w:tabs>
          <w:tab w:leader="none" w:pos="1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shares of undesignated preferred stock, $0.00001 par value per share.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Assuming the conversion of all outstanding shares of our preferred stock into shares of our Class B common stock, which will occur upon the</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effectiveness of the registration statement of which this prospectus forms a part, as of January 31, 2020, there were shares of our Class A common stock and shares of Class B common stock outstanding, held by stockholders of record, and no shares of our preferred stock outstanding. Our board of directors is authorized, without stockholder approval except as required by the listing standards of the , to issue additional shares of our capital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121" w:lineRule="exact"/>
        <w:rPr>
          <w:sz w:val="20"/>
          <w:szCs w:val="20"/>
          <w:color w:val="auto"/>
        </w:rPr>
      </w:pPr>
    </w:p>
    <w:p>
      <w:pPr>
        <w:ind w:right="220" w:firstLine="449"/>
        <w:spacing w:after="0" w:line="342" w:lineRule="auto"/>
        <w:rPr>
          <w:sz w:val="20"/>
          <w:szCs w:val="20"/>
          <w:color w:val="auto"/>
        </w:rPr>
      </w:pPr>
      <w:r>
        <w:rPr>
          <w:rFonts w:ascii="Arial" w:cs="Arial" w:eastAsia="Arial" w:hAnsi="Arial"/>
          <w:sz w:val="16"/>
          <w:szCs w:val="16"/>
          <w:color w:val="auto"/>
        </w:rPr>
        <w:t>We have two classes of authorized common stock, Class A common stock and Class B common stock. Upon the effectiveness of the registration statement of which this prospectus forms a part, all outstanding shares of our preferred stock will be converted into shares of our Class B common stock.</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Subject to preferences that may apply to any shares of preferred stock outstanding at the time, the holders of our Class A common stock and Class B common stock are entitled to receive dividends out of funds legally available if our board of directors, in its discretion, determines to issue dividends and then only at the times and in the amounts that our board of directors may determine. See the section titled “Dividend Policy.”</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Holders of our Class A common stock are entitled to one vote per share, and holders of our Class B common stock are entitled to 10 votes per share, on all matters submitted to a vote of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93" w:lineRule="exact"/>
        <w:rPr>
          <w:sz w:val="20"/>
          <w:szCs w:val="20"/>
          <w:color w:val="auto"/>
        </w:rPr>
      </w:pPr>
    </w:p>
    <w:p>
      <w:pPr>
        <w:ind w:left="1000" w:right="480" w:hanging="547"/>
        <w:spacing w:after="0" w:line="277"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20" w:top="459" w:right="3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00" w:hanging="547"/>
        <w:spacing w:after="0" w:line="263"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84"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Our amended and restated certificate of incorporation and amended and restated bylaws will establish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 Our amended and restated certificate of incorporation will not provide for cumulative voting for the election of directors.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right="260" w:firstLine="449"/>
        <w:spacing w:after="0" w:line="285" w:lineRule="auto"/>
        <w:rPr>
          <w:sz w:val="20"/>
          <w:szCs w:val="20"/>
          <w:color w:val="auto"/>
        </w:rPr>
      </w:pPr>
      <w:r>
        <w:rPr>
          <w:rFonts w:ascii="Arial" w:cs="Arial" w:eastAsia="Arial" w:hAnsi="Arial"/>
          <w:sz w:val="16"/>
          <w:szCs w:val="16"/>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which occurs after the effectiveness of the registration statement of which this prospectus forms a part, except for certain permitted transfers, described in the paragraph that immediately follows this paragraph and further described in our amended and restated certificate of incorporation. Once converted into Class B common stock, the Class A common stock will not be reissued. In addition, each share of Class B common stock will convert</w:t>
      </w:r>
    </w:p>
    <w:p>
      <w:pPr>
        <w:spacing w:after="0" w:line="2" w:lineRule="exact"/>
        <w:rPr>
          <w:sz w:val="20"/>
          <w:szCs w:val="20"/>
          <w:color w:val="auto"/>
        </w:rPr>
      </w:pPr>
    </w:p>
    <w:p>
      <w:pPr>
        <w:spacing w:after="0"/>
        <w:tabs>
          <w:tab w:leader="none" w:pos="7220" w:val="left"/>
          <w:tab w:leader="none" w:pos="10380" w:val="left"/>
        </w:tabs>
        <w:rPr>
          <w:sz w:val="20"/>
          <w:szCs w:val="20"/>
          <w:color w:val="auto"/>
        </w:rPr>
      </w:pPr>
      <w:r>
        <w:rPr>
          <w:rFonts w:ascii="Arial" w:cs="Arial" w:eastAsia="Arial" w:hAnsi="Arial"/>
          <w:sz w:val="18"/>
          <w:szCs w:val="18"/>
          <w:color w:val="auto"/>
        </w:rPr>
        <w:t>automatically into one share of Class A common stock upon the earlier of (i) the date that is</w:t>
      </w:r>
      <w:r>
        <w:rPr>
          <w:sz w:val="20"/>
          <w:szCs w:val="20"/>
          <w:color w:val="auto"/>
        </w:rPr>
        <w:tab/>
      </w:r>
      <w:r>
        <w:rPr>
          <w:rFonts w:ascii="Arial" w:cs="Arial" w:eastAsia="Arial" w:hAnsi="Arial"/>
          <w:sz w:val="18"/>
          <w:szCs w:val="18"/>
          <w:color w:val="auto"/>
        </w:rPr>
        <w:t>or (ii) the later of the date that is (x)</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760" w:hanging="752"/>
        <w:spacing w:after="0"/>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A transfer of Class B common stock will not trigger an automatic conversion of such stock to Class A common stock if it is a permitted transfer. A permitted transfer is a transfer by a holder of Class B common stock to any of the persons or entities listed in clauses (i) through (v) below, each referred to herein as a Permitted Transferee, and from any such Permitted Transferee back to such holder of Class B common stock and/or any other Permitted Transferee established by or for such holder of Class B common stock: (i) to a trust for the benefit of the holder of Class B common stock and over which such holder of Class B common stock retains sole dispositive power and voting control, provided the holder of Class B common stock does not receive consideration in exchange for the transfer (other than as a settlor or beneficiary of such trust); (ii) to a trust for the benefit of persons other than the holder of Class B common stock so long as the holder of Class B common stock retains sole dispositive power and voting control, provided the holder of Class B common stock does not receive consideration in exchange for the transfer (other than as a settlor or beneficiary of such trust); (iii) to a trust under the terms of which such holder of Class B common stock has retained a “qualified interest” within the meaning of §2702(b)(1) of the Internal Revenue Code and/or a reversionary interest so long as the holder of Class B common stock retains sole dispositive power and exclusive voting control with respect to the shares of Class B common stock held by such trust; (iv) to an Individual Retirement Account, as defined in Section 408(a) of the Internal Revenue Code, or a pension, profit sharing, stock bonus, or other type of plan or trust of which such holder of Class B common stock is a participant or beneficiary and which satisfies the requirements for qualification under Section 401 of the Internal Revenue Code, so long as such holder of Class B common stock retains sole dispositive power and exclusive voting control with respect to the shares of Class B common stock held in such account, plan, or trust; or (v) to a corporation, partnership, or limited liability company in which such holder of Class B common stock directly, or indirectly, retains sole dispositive power and exclusive voting control with respect to the shares of Class B common stock held by such corporation, partnership, or limited liability company.</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Our Class A common stock and Class B common stock are not entitled to preemptive rights and are not subject to conversion (except as noted above), redemption, or sinking fund provisions.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459"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Class A common stock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outstanding shares of our Class A common stock and Class B common stock are fully paid and non-assessable.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After the effectiveness of the registration statement of which this prospectus forms a part, all of our previously outstanding shares of redeemable convertible preferred stock will have been converted into common stock, there will be no authorized shares of our redeemable convertible preferred stock and we will have no shares of preferred stock outstanding. Under the terms of our amended and restated certificate of incorporation, which will be in effect following the effectiveness of the registration statement of which this prospectus forms a part, our board of directors has the authority, without further</w:t>
      </w:r>
    </w:p>
    <w:p>
      <w:pPr>
        <w:spacing w:after="0" w:line="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action by our stockholders, to issue up to shares of preferred stock in one or more series, to establish from time to time the number of shares to be included in each such series, to fix the dividend, voting, and other rights, preferences, and privileges of the shares of each series and any qualifications, limitations, or restrictions thereon, and to increase or decrease the number of shares of any such series, but not below the number of shares of such series then outstanding.</w:t>
      </w:r>
    </w:p>
    <w:p>
      <w:pPr>
        <w:spacing w:after="0" w:line="193"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Class A common stock and Class B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Class A common stock and the voting and other rights of the holders of Class A and Class B common stock. We have no current plans to issue any shares of preferred stock.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right="460" w:firstLine="449"/>
        <w:spacing w:after="0" w:line="263" w:lineRule="auto"/>
        <w:rPr>
          <w:sz w:val="20"/>
          <w:szCs w:val="20"/>
          <w:color w:val="auto"/>
        </w:rPr>
      </w:pPr>
      <w:r>
        <w:rPr>
          <w:rFonts w:ascii="Arial" w:cs="Arial" w:eastAsia="Arial" w:hAnsi="Arial"/>
          <w:sz w:val="18"/>
          <w:szCs w:val="18"/>
          <w:color w:val="auto"/>
        </w:rPr>
        <w:t>As of January 31, 2020, we had outstanding options under our equity incentive plans to purchase an aggregate of shares of our Class A common stock, with a weighted-average exercise price of $ per share, and an aggregate of shares of our Class B common stock, with a weighted-average exercise price of $ per share.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ectPr>
          <w:pgSz w:w="11900" w:h="16838" w:orient="portrait"/>
          <w:cols w:equalWidth="0" w:num="1">
            <w:col w:w="11200"/>
          </w:cols>
          <w:pgMar w:left="320" w:top="459" w:right="379" w:bottom="1440" w:gutter="0" w:footer="0" w:header="0"/>
        </w:sectPr>
      </w:pP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As of January 31, 2020, we had outstanding RSUs representing an aggregate of 2012 Plan.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A common stock, issued pursuant to our</w:t>
      </w:r>
    </w:p>
    <w:p>
      <w:pPr>
        <w:spacing w:after="0" w:line="493" w:lineRule="exact"/>
        <w:rPr>
          <w:sz w:val="20"/>
          <w:szCs w:val="20"/>
          <w:color w:val="auto"/>
        </w:rPr>
      </w:pPr>
    </w:p>
    <w:p>
      <w:pPr>
        <w:sectPr>
          <w:pgSz w:w="11900" w:h="16838" w:orient="portrait"/>
          <w:cols w:equalWidth="0" w:num="2">
            <w:col w:w="6180" w:space="540"/>
            <w:col w:w="4480"/>
          </w:cols>
          <w:pgMar w:left="320" w:top="459" w:right="37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Mandatory Convertible Promissory Note</w:t>
      </w:r>
    </w:p>
    <w:p>
      <w:pPr>
        <w:spacing w:after="0" w:line="121"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As of January 31, 2020, we had outstanding an unsecured senior mandatory convertible promissory note issued to the Dustin Moskovitz Trust in the aggregate principal amount of $300.0 million, or the 2020 Note. The 2020 Note accrues interest at a rate of 3.5% per annum, which will compound annually and (other than in connection with our bankruptcy, insolvency, or other similar events) will mandatorily convert into shares of our</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00"/>
          </w:cols>
          <w:pgMar w:left="320" w:top="459" w:right="37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Class B common stock. The 2020 Note matures on January 30, 2025, or the Maturity Date, and on the Maturity Date, the amount of principal and accrued interest will equal $356.3 million, which we refer to as the Conversion Amount.</w:t>
      </w:r>
    </w:p>
    <w:p>
      <w:pPr>
        <w:spacing w:after="0" w:line="170"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If outstanding at the Maturity Date, the Conversion Amount under the 2020 Note will mandatorily convert into shares of our Class B common stock at a rate equal to the greater of (i) 31.6649 shares per each $1,000 of the Conversion Amount, or the Minimum Conversion Rate, and (ii) the lesser of (a) $1,000 divided by the volume-weighted average price of our Class A common stock for the 20 trading days ending on the last trading day immediately preceding the Maturity Date per $1,000 of the Conversion Amount, and (b) 50.6638 shares per each $1,000 of the Conversion Amount, or the Maximum Conversion Rate. On the Maturity Date, depending on the trading price of our Class A common stock, we will issue between 11,282,390 and 18,051,810 shares of our Class B common stock upon mandatory conversion of the 2020 Note, subject to customary anti-dilution and other adjustments.</w:t>
      </w:r>
    </w:p>
    <w:p>
      <w:pPr>
        <w:spacing w:after="0" w:line="164"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addition, in advance of the Maturity Date, at our option, we may convert the Conversion Amount under the 2020 Note into shares of our Class B common stock at the Minimum Conversion Rate at any time during a calendar quarter (prior to the second scheduled trading day immediately preceding the Maturity Date) if the closing trading price of our Class A common stock equals or exceeds $1,000 divided by the Minimum Conversion Rate (initially $31.58 per share subject to customary anti-dilution and other adjustments in connection with certain extraordinary transactions) for 20 or more trading days in the 30 consecutive trading day period ending on the last trading day of the immediately preceding calendar quarter. In the event we experience a change in control, the Conversion Amount under the 2020 Note will convert into shares of our Class B common stock in connection with such acquisition at the Maximum Conversion Rate.</w:t>
      </w:r>
    </w:p>
    <w:p>
      <w:pPr>
        <w:spacing w:after="0" w:line="195"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The 2020 Note is not transferrable except to affiliates, contains no financial or restrictive covenants, and is expressly subordinated in right of payment to any of our existing or future secured indebtedness. Additionally, the 2020 Note contains limited events of default, including our bankruptcy or insolvency, upon which the principal amount outstanding under the 2020 Note, together with all accrued unpaid interest, become immediately due and payable.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are party to an amended and restated investors’ rights agreement that provides that certain holders of our preferred stock have certain registration rights as set forth below. The registration of shares of our Class A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registration rights set forth in the amended and restated investors’ rights agreement will expire five years following the listing of our Class A</w:t>
      </w:r>
    </w:p>
    <w:p>
      <w:pPr>
        <w:spacing w:after="0" w:line="46"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common stock on the</w:t>
      </w:r>
      <w:r>
        <w:rPr>
          <w:sz w:val="20"/>
          <w:szCs w:val="20"/>
          <w:color w:val="auto"/>
        </w:rPr>
        <w:tab/>
      </w:r>
      <w:r>
        <w:rPr>
          <w:rFonts w:ascii="Arial" w:cs="Arial" w:eastAsia="Arial" w:hAnsi="Arial"/>
          <w:sz w:val="16"/>
          <w:szCs w:val="16"/>
          <w:color w:val="auto"/>
        </w:rPr>
        <w:t>, or, with respect to any particular stockholder, when such stockholder is able to sell all of its shares pursuant to Rule 144(b)(1)</w:t>
      </w:r>
    </w:p>
    <w:p>
      <w:pPr>
        <w:spacing w:after="0" w:line="9" w:lineRule="exact"/>
        <w:rPr>
          <w:sz w:val="20"/>
          <w:szCs w:val="20"/>
          <w:color w:val="auto"/>
        </w:rPr>
      </w:pPr>
    </w:p>
    <w:p>
      <w:pPr>
        <w:ind w:right="100" w:firstLine="8"/>
        <w:spacing w:after="0" w:line="271" w:lineRule="auto"/>
        <w:tabs>
          <w:tab w:leader="none" w:pos="215" w:val="left"/>
        </w:tabs>
        <w:numPr>
          <w:ilvl w:val="0"/>
          <w:numId w:val="83"/>
        </w:numPr>
        <w:rPr>
          <w:rFonts w:ascii="Arial" w:cs="Arial" w:eastAsia="Arial" w:hAnsi="Arial"/>
          <w:sz w:val="17"/>
          <w:szCs w:val="17"/>
          <w:color w:val="auto"/>
        </w:rPr>
      </w:pPr>
      <w:r>
        <w:rPr>
          <w:rFonts w:ascii="Arial" w:cs="Arial" w:eastAsia="Arial" w:hAnsi="Arial"/>
          <w:sz w:val="17"/>
          <w:szCs w:val="17"/>
          <w:color w:val="auto"/>
        </w:rPr>
        <w:t>of the Securities Act or holds 1% or less of our common stock and is able to sell all of its Registrable Securities, as defined in the amended and restated investors’ rights agreement, without registration pursuant to Rule 144 of the Securities Act during any three-month period. We will pay the registration expenses (other than underwriting discounts and selling commissions) of the holders of the shares registered pursuant to the registrations described below, including the reasonable fees of one counsel for the selling holders. In an underwritten offering, the underwriters have the right, subject to specified conditions, to limit the number of shares such holders may include.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 Rights</w:t>
      </w:r>
    </w:p>
    <w:p>
      <w:pPr>
        <w:sectPr>
          <w:pgSz w:w="11900" w:h="16838" w:orient="portrait"/>
          <w:cols w:equalWidth="0" w:num="1">
            <w:col w:w="11220"/>
          </w:cols>
          <w:pgMar w:left="320" w:top="459" w:right="359" w:bottom="1440" w:gutter="0" w:footer="0" w:header="0"/>
        </w:sectPr>
      </w:pP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After the effectiveness of the registration statement of which this prospectus forms a part, the holders of an aggregate of common stock will be entitled to certain demand registration rights. At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Class B</w:t>
      </w:r>
    </w:p>
    <w:p>
      <w:pPr>
        <w:spacing w:after="0" w:line="408" w:lineRule="exact"/>
        <w:rPr>
          <w:sz w:val="20"/>
          <w:szCs w:val="20"/>
          <w:color w:val="auto"/>
        </w:rPr>
      </w:pPr>
    </w:p>
    <w:p>
      <w:pPr>
        <w:sectPr>
          <w:pgSz w:w="11900" w:h="16838" w:orient="portrait"/>
          <w:cols w:equalWidth="0" w:num="2">
            <w:col w:w="9080" w:space="600"/>
            <w:col w:w="1540"/>
          </w:cols>
          <w:pgMar w:left="320" w:top="459"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220"/>
          </w:cols>
          <w:pgMar w:left="320" w:top="459" w:right="35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any time beginning the six months after the effectiveness of the registration statement of which this prospectus forms a part, the holders of a majority of these shares may request that we register all or a portion of their shares. We are obligated to effect only two such registrations. Such request for registration must cover shares with an anticipated aggregate offering price, net of underwriting discounts and commissions, of at least $15.0 million.</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After the effectiveness of the registration statement of which this prospectus forms a part, in the event that we propose to register any of our</w:t>
      </w:r>
    </w:p>
    <w:p>
      <w:pPr>
        <w:spacing w:after="0" w:line="3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securities under the Securities Act, either for our own account or for the account of other security holders, the holders of shares of our Class B common stock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(1) a registration relating solely to the sale of securities to participants in our stock plan, (2) a registration relating to a transaction covered by Rule 145 under the Securities Act, (3) a registration in which the only stock being registered is common stock upon conversion of debt securities also being registered, or</w:t>
      </w:r>
    </w:p>
    <w:p>
      <w:pPr>
        <w:spacing w:after="0" w:line="3" w:lineRule="exact"/>
        <w:rPr>
          <w:sz w:val="20"/>
          <w:szCs w:val="20"/>
          <w:color w:val="auto"/>
        </w:rPr>
      </w:pPr>
    </w:p>
    <w:p>
      <w:pPr>
        <w:ind w:firstLine="8"/>
        <w:spacing w:after="0" w:line="277" w:lineRule="auto"/>
        <w:tabs>
          <w:tab w:leader="none" w:pos="255"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registration on any form which does not include substantially the same information as would be required to be included in a registration statement covering the sale of registrable securities, the holders of these shares are entitled to notice of the registration and have the right to include their shares in the registration, subject to limitations that the underwriters may impose on the number of shares included in the offering.</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460"/>
        <w:spacing w:after="0"/>
        <w:tabs>
          <w:tab w:leader="none" w:pos="9660" w:val="left"/>
        </w:tabs>
        <w:rPr>
          <w:sz w:val="20"/>
          <w:szCs w:val="20"/>
          <w:color w:val="auto"/>
        </w:rPr>
      </w:pPr>
      <w:r>
        <w:rPr>
          <w:rFonts w:ascii="Arial" w:cs="Arial" w:eastAsia="Arial" w:hAnsi="Arial"/>
          <w:sz w:val="18"/>
          <w:szCs w:val="18"/>
          <w:color w:val="auto"/>
        </w:rPr>
        <w:t>After the effectiveness of the registration statement of which this prospectus forms a part, the holders of an aggregate of</w:t>
      </w:r>
      <w:r>
        <w:rPr>
          <w:sz w:val="20"/>
          <w:szCs w:val="20"/>
          <w:color w:val="auto"/>
        </w:rPr>
        <w:tab/>
      </w:r>
      <w:r>
        <w:rPr>
          <w:rFonts w:ascii="Arial" w:cs="Arial" w:eastAsia="Arial" w:hAnsi="Arial"/>
          <w:sz w:val="15"/>
          <w:szCs w:val="15"/>
          <w:color w:val="auto"/>
        </w:rPr>
        <w:t>shares of our Class B</w:t>
      </w:r>
    </w:p>
    <w:p>
      <w:pPr>
        <w:spacing w:after="0" w:line="23"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common stock will be entitled to certain Form S-3 registration rights. The holders of these shares can make a request that we register their shares on Form S-3 if we are qualified to file a registration statement on Form S-3 and if the reasonably anticipated aggregate gross proceeds of the shares offered would equal or exceed $10.0 million. We will not be required to effect more than two registrations on Form S-3 within any 12-month period.</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or will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8"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Our amended and restated bylaws will provide that a special meeting of stockholders may be called only by our chairperson of the board, chief executive officer, or president, or by a resolution adopted by a majority of our board of directors.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320" w:top="459" w:right="3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1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will eliminate the right of stockholders to act by written consent without a meeting.</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board of directors will be divided into three classes. The directors in each class will serve for a three-year term, one class being elected each year by our stockholders. For more information on the classified board, see “Management—Composition of Our Board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Our amended and restated certificate of incorporation will provide that no member of our board of directors may be removed from office by our stockholders except for cause and, in addition to any other vote required by law, upon the approval of not less than two-thirds of the total voting power of all of our outstanding voting stock then entitled to vote in the election of directors.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Our amended and restated certificate of incorporation will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the following types of actions or proceedings under Delaware statutory or common law: (1) any derivative action or proceeding brought on our behalf; (2) any action asserting a claim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60"/>
        <w:spacing w:after="0" w:line="291" w:lineRule="auto"/>
        <w:rPr>
          <w:sz w:val="20"/>
          <w:szCs w:val="20"/>
          <w:color w:val="auto"/>
        </w:rPr>
      </w:pPr>
      <w:r>
        <w:rPr>
          <w:rFonts w:ascii="Arial" w:cs="Arial" w:eastAsia="Arial" w:hAnsi="Arial"/>
          <w:sz w:val="16"/>
          <w:szCs w:val="16"/>
          <w:color w:val="auto"/>
        </w:rPr>
        <w:t>breach of a fiduciary duty or other wrongdoing by any of our directors, officers, employees, or agents to us or our stockholders; (3) any action asserting a claim against us arising pursuant to any provision of the General Corporation Law of the State of Delaware or our certificate of incorporation or bylaws;</w:t>
      </w:r>
    </w:p>
    <w:p>
      <w:pPr>
        <w:ind w:right="160" w:firstLine="8"/>
        <w:spacing w:after="0" w:line="252" w:lineRule="auto"/>
        <w:tabs>
          <w:tab w:leader="none" w:pos="2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our certificate of incorporation or bylaws; or (5) any action asserting a claim governed by the internal affairs doctrine. The provisions would not apply to suits brought to enforce a duty or liability created by the Exchange Act. Furthermore, Section 22 of the Securities Act creates concurrent jurisdiction for federal and state courts over all such Securities Act actions and investors cannot waive compliance with the federal securities laws and the rules and regulations thereunder. However, our amended and restated certificate of incorporation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Charter Provisions</w:t>
      </w:r>
    </w:p>
    <w:p>
      <w:pPr>
        <w:spacing w:after="0" w:line="12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460"/>
        <w:spacing w:after="0"/>
        <w:tabs>
          <w:tab w:leader="none" w:pos="6020" w:val="left"/>
          <w:tab w:leader="none" w:pos="7760" w:val="left"/>
        </w:tabs>
        <w:rPr>
          <w:sz w:val="20"/>
          <w:szCs w:val="20"/>
          <w:color w:val="auto"/>
        </w:rPr>
      </w:pPr>
      <w:r>
        <w:rPr>
          <w:rFonts w:ascii="Arial" w:cs="Arial" w:eastAsia="Arial" w:hAnsi="Arial"/>
          <w:sz w:val="18"/>
          <w:szCs w:val="18"/>
          <w:color w:val="auto"/>
        </w:rPr>
        <w:t>We intend to apply for the listing of our Class A common stock on the</w:t>
      </w:r>
      <w:r>
        <w:rPr>
          <w:sz w:val="20"/>
          <w:szCs w:val="20"/>
          <w:color w:val="auto"/>
        </w:rPr>
        <w:tab/>
      </w:r>
      <w:r>
        <w:rPr>
          <w:rFonts w:ascii="Arial" w:cs="Arial" w:eastAsia="Arial" w:hAnsi="Arial"/>
          <w:sz w:val="18"/>
          <w:szCs w:val="18"/>
          <w:color w:val="auto"/>
        </w:rPr>
        <w:t>under the symbol “</w:t>
      </w:r>
      <w:r>
        <w:rPr>
          <w:sz w:val="20"/>
          <w:szCs w:val="20"/>
          <w:color w:val="auto"/>
        </w:rPr>
        <w:tab/>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tabs>
          <w:tab w:leader="none" w:pos="5040" w:val="left"/>
          <w:tab w:leader="none" w:pos="7900" w:val="left"/>
          <w:tab w:leader="none" w:pos="1050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8"/>
          <w:szCs w:val="18"/>
          <w:color w:val="auto"/>
        </w:rPr>
        <w:t>. The transfer agent’s address is</w:t>
      </w:r>
      <w:r>
        <w:rPr>
          <w:sz w:val="20"/>
          <w:szCs w:val="20"/>
          <w:color w:val="auto"/>
        </w:rPr>
        <w:tab/>
      </w:r>
      <w:r>
        <w:rPr>
          <w:rFonts w:ascii="Arial" w:cs="Arial" w:eastAsia="Arial" w:hAnsi="Arial"/>
          <w:sz w:val="18"/>
          <w:szCs w:val="18"/>
          <w:color w:val="auto"/>
        </w:rPr>
        <w:t>, and its telephone number is</w:t>
      </w:r>
      <w:r>
        <w:rPr>
          <w:sz w:val="20"/>
          <w:szCs w:val="20"/>
          <w:color w:val="auto"/>
        </w:rPr>
        <w:tab/>
      </w:r>
      <w:r>
        <w:rPr>
          <w:rFonts w:ascii="Arial" w:cs="Arial" w:eastAsia="Arial" w:hAnsi="Arial"/>
          <w:sz w:val="13"/>
          <w:szCs w:val="13"/>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320" w:top="459" w:right="3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right="260" w:firstLine="449"/>
        <w:spacing w:after="0" w:line="287" w:lineRule="auto"/>
        <w:rPr>
          <w:sz w:val="20"/>
          <w:szCs w:val="20"/>
          <w:color w:val="auto"/>
        </w:rPr>
      </w:pPr>
      <w:r>
        <w:rPr>
          <w:rFonts w:ascii="Arial" w:cs="Arial" w:eastAsia="Arial" w:hAnsi="Arial"/>
          <w:sz w:val="16"/>
          <w:szCs w:val="16"/>
          <w:color w:val="auto"/>
        </w:rPr>
        <w:t>Prior to the listing of our Class A common stock on the ,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Sales of substantial amounts of our Class A common stock in the public market following our listing on</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 or the perception that such sales could occur, could adversely affect the trading price of our Class A common stock and may make it more difficult for you to sell your Class A common stock at a time and price that you deem appropriate. We will have no input if and when any Registered Stockholder may, or may not, elect to sell its shares of Class A common stock or the prices at which any such sales may occur. Future sales of our Class A common stock in the public market, or the availability of such shares for sale in the public market, could adversely affect the trading prices of shares of our Class A common stock prevailing from time to time.</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Upon the effectiveness of the registration statement of which this prospectus forms a part, based on the number of shares of our capital stock</w:t>
      </w:r>
    </w:p>
    <w:p>
      <w:pPr>
        <w:spacing w:after="0" w:line="3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outstanding as of January 31, 2020, we will have a total of shares of our Class A common stock and shares of our Class B common stock outstanding, assuming the automatic conversion of all outstanding shares of our preferred stock into shares of our Class B common stock upon the effectiveness of the registration statement of which this prospectus forms a part.</w:t>
      </w:r>
    </w:p>
    <w:p>
      <w:pPr>
        <w:spacing w:after="0" w:line="190"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Shares of our Class A common stock and Class B common stock will be deemed “restricted securities” (as defined in Rule 144 under the Securities Act). Restricted securities may be sold in the public market only if they are registered or if they qualify for an exemption from registration under Rule 144</w:t>
      </w:r>
    </w:p>
    <w:p>
      <w:pPr>
        <w:jc w:val="both"/>
        <w:ind w:right="160"/>
        <w:spacing w:after="0" w:line="255" w:lineRule="auto"/>
        <w:rPr>
          <w:sz w:val="20"/>
          <w:szCs w:val="20"/>
          <w:color w:val="auto"/>
        </w:rPr>
      </w:pPr>
      <w:r>
        <w:rPr>
          <w:rFonts w:ascii="Arial" w:cs="Arial" w:eastAsia="Arial" w:hAnsi="Arial"/>
          <w:sz w:val="18"/>
          <w:szCs w:val="18"/>
          <w:color w:val="auto"/>
        </w:rPr>
        <w:t>or Rule 701 under the Securities Act, which rules are summarized below. Following the listing of our Class A common stock on the , shares of our Class A common stock may be sold either by the Registered Stockholders pursuant to this prospectus or by our other existing stockholders in accordance with Rule 144 of the Securities Act.</w:t>
      </w:r>
    </w:p>
    <w:p>
      <w:pPr>
        <w:spacing w:after="0" w:line="190"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As further described below, until we have been a reporting company for at least 90 days, only non-affiliates who have beneficially owned their shares of common stock for a period of at least one year will be able to sell their shares of Class A common stock under Rule 144, which is expected to include</w:t>
      </w:r>
    </w:p>
    <w:p>
      <w:pPr>
        <w:spacing w:after="0"/>
        <w:tabs>
          <w:tab w:leader="none" w:pos="156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shares of common stock immediately after our registration.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7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within any three-month period, a number of shares that does not exceed the greater of:</w:t>
      </w:r>
    </w:p>
    <w:p>
      <w:pPr>
        <w:sectPr>
          <w:pgSz w:w="11900" w:h="16838" w:orient="portrait"/>
          <w:cols w:equalWidth="0" w:num="1">
            <w:col w:w="11240"/>
          </w:cols>
          <w:pgMar w:left="320" w:top="459" w:right="339" w:bottom="1440" w:gutter="0" w:footer="0" w:header="0"/>
        </w:sectPr>
      </w:pPr>
    </w:p>
    <w:p>
      <w:pPr>
        <w:spacing w:after="0" w:line="7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1% of the number of shares of our Class A common stock then outstanding, which will equal approximately the effectiveness of the registration statement of which this prospectus forms a part; 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w:t>
      </w:r>
    </w:p>
    <w:p>
      <w:pPr>
        <w:spacing w:after="0" w:line="369" w:lineRule="exact"/>
        <w:rPr>
          <w:sz w:val="20"/>
          <w:szCs w:val="20"/>
          <w:color w:val="auto"/>
        </w:rPr>
      </w:pPr>
    </w:p>
    <w:p>
      <w:pPr>
        <w:sectPr>
          <w:pgSz w:w="11900" w:h="16838" w:orient="portrait"/>
          <w:cols w:equalWidth="0" w:num="3">
            <w:col w:w="520" w:space="480"/>
            <w:col w:w="7780" w:space="540"/>
            <w:col w:w="1920"/>
          </w:cols>
          <w:pgMar w:left="320" w:top="459" w:right="339" w:bottom="1440" w:gutter="0" w:footer="0" w:header="0"/>
          <w:type w:val="continuous"/>
        </w:sectPr>
      </w:pPr>
    </w:p>
    <w:p>
      <w:pPr>
        <w:ind w:left="1000" w:right="20" w:hanging="547"/>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459" w:right="33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jc w:val="both"/>
        <w:ind w:right="80" w:firstLine="449"/>
        <w:spacing w:after="0" w:line="296" w:lineRule="auto"/>
        <w:rPr>
          <w:sz w:val="20"/>
          <w:szCs w:val="20"/>
          <w:color w:val="auto"/>
        </w:rPr>
      </w:pPr>
      <w:r>
        <w:rPr>
          <w:rFonts w:ascii="Arial" w:cs="Arial" w:eastAsia="Arial" w:hAnsi="Arial"/>
          <w:sz w:val="16"/>
          <w:szCs w:val="16"/>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460"/>
        <w:spacing w:after="0"/>
        <w:tabs>
          <w:tab w:leader="none" w:pos="7220" w:val="left"/>
        </w:tabs>
        <w:rPr>
          <w:sz w:val="20"/>
          <w:szCs w:val="20"/>
          <w:color w:val="auto"/>
        </w:rPr>
      </w:pPr>
      <w:r>
        <w:rPr>
          <w:rFonts w:ascii="Arial" w:cs="Arial" w:eastAsia="Arial" w:hAnsi="Arial"/>
          <w:sz w:val="18"/>
          <w:szCs w:val="18"/>
          <w:color w:val="auto"/>
        </w:rPr>
        <w:t>Pursuant to our amended and restated investors’ rights agreement, the holders of up to</w:t>
      </w:r>
      <w:r>
        <w:rPr>
          <w:sz w:val="20"/>
          <w:szCs w:val="20"/>
          <w:color w:val="auto"/>
        </w:rPr>
        <w:tab/>
      </w:r>
      <w:r>
        <w:rPr>
          <w:rFonts w:ascii="Arial" w:cs="Arial" w:eastAsia="Arial" w:hAnsi="Arial"/>
          <w:sz w:val="16"/>
          <w:szCs w:val="16"/>
          <w:color w:val="auto"/>
        </w:rPr>
        <w:t>shares of our Class B common stock (including shares</w:t>
      </w:r>
    </w:p>
    <w:p>
      <w:pPr>
        <w:spacing w:after="0" w:line="23"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issuable upon the conversion of our outstanding preferred stock upon the effectiveness of the registration statement of which this prospectus forms a part), or their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is registered, the shares will be freely tradable without restriction under the Securities Act, and a large number of shares may be sold into the public market.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jc w:val="both"/>
        <w:ind w:right="100" w:firstLine="449"/>
        <w:spacing w:after="0" w:line="287" w:lineRule="auto"/>
        <w:rPr>
          <w:sz w:val="20"/>
          <w:szCs w:val="20"/>
          <w:color w:val="auto"/>
        </w:rPr>
      </w:pPr>
      <w:r>
        <w:rPr>
          <w:rFonts w:ascii="Arial" w:cs="Arial" w:eastAsia="Arial" w:hAnsi="Arial"/>
          <w:sz w:val="16"/>
          <w:szCs w:val="16"/>
          <w:color w:val="auto"/>
        </w:rPr>
        <w:t>We intend to file a registration statement on Form S-8 under the Securities Act to register all of the shares of our Class A common stock and Class B common stock issuable or reserved for issuance under our 2009 Plan, 2012 Plan, and our 2020 Plan. Shares covered by such registration statement will be eligible for sale in the public market, subject to the Rule 144 limitations and vesting restrictions. As of January 31, 2020, options to purchase a total of</w:t>
      </w:r>
    </w:p>
    <w:p>
      <w:pPr>
        <w:spacing w:after="0" w:line="2" w:lineRule="exact"/>
        <w:rPr>
          <w:sz w:val="20"/>
          <w:szCs w:val="20"/>
          <w:color w:val="auto"/>
        </w:rPr>
      </w:pPr>
    </w:p>
    <w:p>
      <w:pPr>
        <w:ind w:firstLine="540"/>
        <w:spacing w:after="0" w:line="290" w:lineRule="auto"/>
        <w:rPr>
          <w:sz w:val="20"/>
          <w:szCs w:val="20"/>
          <w:color w:val="auto"/>
        </w:rPr>
      </w:pPr>
      <w:r>
        <w:rPr>
          <w:rFonts w:ascii="Arial" w:cs="Arial" w:eastAsia="Arial" w:hAnsi="Arial"/>
          <w:sz w:val="17"/>
          <w:szCs w:val="17"/>
          <w:color w:val="auto"/>
        </w:rPr>
        <w:t>shares of our Class B common stock pursuant to our 2009 Plan, RSUs and options to purchase a total of shares of our Class A common stock pursuant to our 2012 Plan were outstanding, and no options or other equity awards were outstanding or exercisable under our 2020 Plan.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459" w:right="3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PRICE HISTORY OF OUR CAPITAL STOCK</w:t>
      </w:r>
    </w:p>
    <w:p>
      <w:pPr>
        <w:spacing w:after="0" w:line="229" w:lineRule="exact"/>
        <w:rPr>
          <w:sz w:val="20"/>
          <w:szCs w:val="20"/>
          <w:color w:val="auto"/>
        </w:rPr>
      </w:pPr>
    </w:p>
    <w:p>
      <w:pPr>
        <w:jc w:val="both"/>
        <w:ind w:right="420" w:firstLine="449"/>
        <w:spacing w:after="0" w:line="291" w:lineRule="auto"/>
        <w:rPr>
          <w:sz w:val="20"/>
          <w:szCs w:val="20"/>
          <w:color w:val="auto"/>
        </w:rPr>
      </w:pPr>
      <w:r>
        <w:rPr>
          <w:rFonts w:ascii="Arial" w:cs="Arial" w:eastAsia="Arial" w:hAnsi="Arial"/>
          <w:sz w:val="16"/>
          <w:szCs w:val="16"/>
          <w:color w:val="auto"/>
        </w:rPr>
        <w:t>We intend to apply to list our Class A common stock on the . Prior to the initial listing, no public market existed for our Class A common stock. However, our Class A and Class B common stock (on an as-converted to common stock basis) have a history of trading in private transactions,</w:t>
      </w:r>
    </w:p>
    <w:p>
      <w:pPr>
        <w:ind w:right="40"/>
        <w:spacing w:after="0" w:line="281" w:lineRule="auto"/>
        <w:rPr>
          <w:sz w:val="20"/>
          <w:szCs w:val="20"/>
          <w:color w:val="auto"/>
        </w:rPr>
      </w:pPr>
      <w:r>
        <w:rPr>
          <w:rFonts w:ascii="Arial" w:cs="Arial" w:eastAsia="Arial" w:hAnsi="Arial"/>
          <w:sz w:val="16"/>
          <w:szCs w:val="16"/>
          <w:color w:val="auto"/>
        </w:rPr>
        <w:t>although such history is limited, as we only recently lifted transfer restrictions on our capital stock in 2020. The table below shows the high and low sales prices for our Class A and Class B common stock (on an as-converted to common stock basis) in private transactions by our stockholders, for the indicated periods, as well as the volume-weighted average price per share, based on information available to us. This information may have little or no relation to the broader market demand for our Class A common stock and thus the opening trading price and subsequent trading price of our Class A</w:t>
      </w: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line="204" w:lineRule="exact"/>
              <w:rPr>
                <w:sz w:val="20"/>
                <w:szCs w:val="20"/>
                <w:color w:val="auto"/>
              </w:rPr>
            </w:pPr>
            <w:r>
              <w:rPr>
                <w:rFonts w:ascii="Arial" w:cs="Arial" w:eastAsia="Arial" w:hAnsi="Arial"/>
                <w:sz w:val="18"/>
                <w:szCs w:val="18"/>
                <w:color w:val="auto"/>
              </w:rPr>
              <w:t>common stock on the</w:t>
            </w:r>
          </w:p>
        </w:tc>
        <w:tc>
          <w:tcPr>
            <w:tcW w:w="9180" w:type="dxa"/>
            <w:vAlign w:val="bottom"/>
            <w:gridSpan w:val="14"/>
          </w:tcPr>
          <w:p>
            <w:pPr>
              <w:ind w:left="40"/>
              <w:spacing w:after="0" w:line="204" w:lineRule="exact"/>
              <w:rPr>
                <w:sz w:val="20"/>
                <w:szCs w:val="20"/>
                <w:color w:val="auto"/>
              </w:rPr>
            </w:pPr>
            <w:r>
              <w:rPr>
                <w:rFonts w:ascii="Arial" w:cs="Arial" w:eastAsia="Arial" w:hAnsi="Arial"/>
                <w:sz w:val="18"/>
                <w:szCs w:val="18"/>
                <w:color w:val="auto"/>
                <w:w w:val="96"/>
              </w:rPr>
              <w:t>. As a result, you should not place reliance on these historical private sales prices as they may differ materially from the</w:t>
            </w:r>
          </w:p>
        </w:tc>
        <w:tc>
          <w:tcPr>
            <w:tcW w:w="0" w:type="dxa"/>
            <w:vAlign w:val="bottom"/>
          </w:tcPr>
          <w:p>
            <w:pPr>
              <w:spacing w:after="0"/>
              <w:rPr>
                <w:sz w:val="1"/>
                <w:szCs w:val="1"/>
                <w:color w:val="auto"/>
              </w:rPr>
            </w:pPr>
          </w:p>
        </w:tc>
      </w:tr>
      <w:tr>
        <w:trPr>
          <w:trHeight w:val="216"/>
        </w:trPr>
        <w:tc>
          <w:tcPr>
            <w:tcW w:w="6400" w:type="dxa"/>
            <w:vAlign w:val="bottom"/>
            <w:gridSpan w:val="4"/>
          </w:tcPr>
          <w:p>
            <w:pPr>
              <w:spacing w:after="0"/>
              <w:rPr>
                <w:sz w:val="20"/>
                <w:szCs w:val="20"/>
                <w:color w:val="auto"/>
              </w:rPr>
            </w:pPr>
            <w:r>
              <w:rPr>
                <w:rFonts w:ascii="Arial" w:cs="Arial" w:eastAsia="Arial" w:hAnsi="Arial"/>
                <w:sz w:val="18"/>
                <w:szCs w:val="18"/>
                <w:color w:val="auto"/>
                <w:w w:val="91"/>
              </w:rPr>
              <w:t>opening trading price and subsequent trading price of our Class A common stock on the</w:t>
            </w:r>
          </w:p>
        </w:tc>
        <w:tc>
          <w:tcPr>
            <w:tcW w:w="80" w:type="dxa"/>
            <w:vAlign w:val="bottom"/>
          </w:tcPr>
          <w:p>
            <w:pPr>
              <w:spacing w:after="0"/>
              <w:rPr>
                <w:sz w:val="18"/>
                <w:szCs w:val="18"/>
                <w:color w:val="auto"/>
              </w:rPr>
            </w:pPr>
          </w:p>
        </w:tc>
        <w:tc>
          <w:tcPr>
            <w:tcW w:w="4760" w:type="dxa"/>
            <w:vAlign w:val="bottom"/>
            <w:gridSpan w:val="10"/>
          </w:tcPr>
          <w:p>
            <w:pPr>
              <w:ind w:left="380"/>
              <w:spacing w:after="0"/>
              <w:rPr>
                <w:sz w:val="20"/>
                <w:szCs w:val="20"/>
                <w:color w:val="auto"/>
              </w:rPr>
            </w:pPr>
            <w:r>
              <w:rPr>
                <w:rFonts w:ascii="Arial" w:cs="Arial" w:eastAsia="Arial" w:hAnsi="Arial"/>
                <w:sz w:val="18"/>
                <w:szCs w:val="18"/>
                <w:color w:val="auto"/>
                <w:w w:val="99"/>
              </w:rPr>
              <w:t>. See the section titled “Risk Factors—Risks Related to</w:t>
            </w:r>
          </w:p>
        </w:tc>
        <w:tc>
          <w:tcPr>
            <w:tcW w:w="0" w:type="dxa"/>
            <w:vAlign w:val="bottom"/>
          </w:tcPr>
          <w:p>
            <w:pPr>
              <w:spacing w:after="0"/>
              <w:rPr>
                <w:sz w:val="1"/>
                <w:szCs w:val="1"/>
                <w:color w:val="auto"/>
              </w:rPr>
            </w:pPr>
          </w:p>
        </w:tc>
      </w:tr>
      <w:tr>
        <w:trPr>
          <w:trHeight w:val="216"/>
        </w:trPr>
        <w:tc>
          <w:tcPr>
            <w:tcW w:w="7880" w:type="dxa"/>
            <w:vAlign w:val="bottom"/>
            <w:gridSpan w:val="8"/>
          </w:tcPr>
          <w:p>
            <w:pPr>
              <w:spacing w:after="0"/>
              <w:rPr>
                <w:sz w:val="20"/>
                <w:szCs w:val="20"/>
                <w:color w:val="auto"/>
              </w:rPr>
            </w:pPr>
            <w:r>
              <w:rPr>
                <w:rFonts w:ascii="Arial" w:cs="Arial" w:eastAsia="Arial" w:hAnsi="Arial"/>
                <w:sz w:val="18"/>
                <w:szCs w:val="18"/>
                <w:color w:val="auto"/>
                <w:w w:val="91"/>
              </w:rPr>
              <w:t>Ownership of Our Class A Common Stock—The trading price of our Class A common stock, upon listing on</w:t>
            </w:r>
          </w:p>
        </w:tc>
        <w:tc>
          <w:tcPr>
            <w:tcW w:w="3360" w:type="dxa"/>
            <w:vAlign w:val="bottom"/>
            <w:gridSpan w:val="7"/>
          </w:tcPr>
          <w:p>
            <w:pPr>
              <w:ind w:left="520"/>
              <w:spacing w:after="0"/>
              <w:rPr>
                <w:sz w:val="20"/>
                <w:szCs w:val="20"/>
                <w:color w:val="auto"/>
              </w:rPr>
            </w:pPr>
            <w:r>
              <w:rPr>
                <w:rFonts w:ascii="Arial" w:cs="Arial" w:eastAsia="Arial" w:hAnsi="Arial"/>
                <w:sz w:val="18"/>
                <w:szCs w:val="18"/>
                <w:color w:val="auto"/>
                <w:w w:val="97"/>
              </w:rPr>
              <w:t>, may have little or no relationship to</w:t>
            </w:r>
          </w:p>
        </w:tc>
        <w:tc>
          <w:tcPr>
            <w:tcW w:w="0" w:type="dxa"/>
            <w:vAlign w:val="bottom"/>
          </w:tcPr>
          <w:p>
            <w:pPr>
              <w:spacing w:after="0"/>
              <w:rPr>
                <w:sz w:val="1"/>
                <w:szCs w:val="1"/>
                <w:color w:val="auto"/>
              </w:rPr>
            </w:pPr>
          </w:p>
        </w:tc>
      </w:tr>
      <w:tr>
        <w:trPr>
          <w:trHeight w:val="230"/>
        </w:trPr>
        <w:tc>
          <w:tcPr>
            <w:tcW w:w="8820" w:type="dxa"/>
            <w:vAlign w:val="bottom"/>
            <w:gridSpan w:val="10"/>
          </w:tcPr>
          <w:p>
            <w:pPr>
              <w:spacing w:after="0"/>
              <w:rPr>
                <w:sz w:val="20"/>
                <w:szCs w:val="20"/>
                <w:color w:val="auto"/>
              </w:rPr>
            </w:pPr>
            <w:r>
              <w:rPr>
                <w:rFonts w:ascii="Arial" w:cs="Arial" w:eastAsia="Arial" w:hAnsi="Arial"/>
                <w:sz w:val="18"/>
                <w:szCs w:val="18"/>
                <w:color w:val="auto"/>
                <w:w w:val="93"/>
              </w:rPr>
              <w:t>the historical sales prices of our capital stock in private transactions, and such private transactions have been limited.”</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24"/>
                <w:szCs w:val="2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Volume-</w:t>
            </w:r>
          </w:p>
        </w:tc>
        <w:tc>
          <w:tcPr>
            <w:tcW w:w="8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Weighted</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Per Share Sale Price</w:t>
            </w:r>
          </w:p>
        </w:tc>
        <w:tc>
          <w:tcPr>
            <w:tcW w:w="66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Shares Sold</w:t>
            </w:r>
          </w:p>
        </w:tc>
        <w:tc>
          <w:tcPr>
            <w:tcW w:w="320" w:type="dxa"/>
            <w:vAlign w:val="bottom"/>
          </w:tcPr>
          <w:p>
            <w:pPr>
              <w:spacing w:after="0"/>
              <w:rPr>
                <w:sz w:val="12"/>
                <w:szCs w:val="12"/>
                <w:color w:val="auto"/>
              </w:rPr>
            </w:pPr>
          </w:p>
        </w:tc>
        <w:tc>
          <w:tcPr>
            <w:tcW w:w="12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36"/>
        </w:trPr>
        <w:tc>
          <w:tcPr>
            <w:tcW w:w="20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800" w:type="dxa"/>
            <w:vAlign w:val="bottom"/>
            <w:tcBorders>
              <w:bottom w:val="single" w:sz="8" w:color="auto"/>
            </w:tcBorders>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520"/>
              <w:spacing w:after="0" w:line="125" w:lineRule="exact"/>
              <w:rPr>
                <w:sz w:val="20"/>
                <w:szCs w:val="20"/>
                <w:color w:val="auto"/>
              </w:rPr>
            </w:pPr>
            <w:r>
              <w:rPr>
                <w:rFonts w:ascii="Arial" w:cs="Arial" w:eastAsia="Arial" w:hAnsi="Arial"/>
                <w:sz w:val="14"/>
                <w:szCs w:val="14"/>
                <w:b w:val="1"/>
                <w:bCs w:val="1"/>
                <w:color w:val="auto"/>
                <w:w w:val="90"/>
              </w:rPr>
              <w:t>in the</w:t>
            </w:r>
          </w:p>
        </w:tc>
        <w:tc>
          <w:tcPr>
            <w:tcW w:w="320" w:type="dxa"/>
            <w:vAlign w:val="bottom"/>
          </w:tcPr>
          <w:p>
            <w:pPr>
              <w:spacing w:after="0"/>
              <w:rPr>
                <w:sz w:val="11"/>
                <w:szCs w:val="11"/>
                <w:color w:val="auto"/>
              </w:rPr>
            </w:pPr>
          </w:p>
        </w:tc>
        <w:tc>
          <w:tcPr>
            <w:tcW w:w="1260" w:type="dxa"/>
            <w:vAlign w:val="bottom"/>
            <w:gridSpan w:val="2"/>
          </w:tcPr>
          <w:p>
            <w:pPr>
              <w:jc w:val="center"/>
              <w:ind w:right="660"/>
              <w:spacing w:after="0" w:line="125" w:lineRule="exact"/>
              <w:rPr>
                <w:sz w:val="20"/>
                <w:szCs w:val="20"/>
                <w:color w:val="auto"/>
              </w:rPr>
            </w:pPr>
            <w:r>
              <w:rPr>
                <w:rFonts w:ascii="Arial" w:cs="Arial" w:eastAsia="Arial" w:hAnsi="Arial"/>
                <w:sz w:val="14"/>
                <w:szCs w:val="14"/>
                <w:b w:val="1"/>
                <w:bCs w:val="1"/>
                <w:color w:val="auto"/>
                <w:w w:val="93"/>
              </w:rPr>
              <w:t>Price</w:t>
            </w:r>
          </w:p>
        </w:tc>
        <w:tc>
          <w:tcPr>
            <w:tcW w:w="840" w:type="dxa"/>
            <w:vAlign w:val="bottom"/>
            <w:gridSpan w:val="2"/>
          </w:tcPr>
          <w:p>
            <w:pPr>
              <w:jc w:val="center"/>
              <w:ind w:right="40"/>
              <w:spacing w:after="0" w:line="125"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69"/>
        </w:trPr>
        <w:tc>
          <w:tcPr>
            <w:tcW w:w="20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High</w:t>
            </w:r>
          </w:p>
        </w:tc>
        <w:tc>
          <w:tcPr>
            <w:tcW w:w="80" w:type="dxa"/>
            <w:vAlign w:val="bottom"/>
          </w:tcPr>
          <w:p>
            <w:pPr>
              <w:spacing w:after="0"/>
              <w:rPr>
                <w:sz w:val="14"/>
                <w:szCs w:val="14"/>
                <w:color w:val="auto"/>
              </w:rPr>
            </w:pPr>
          </w:p>
        </w:tc>
        <w:tc>
          <w:tcPr>
            <w:tcW w:w="1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9"/>
              </w:rPr>
              <w:t>Low</w:t>
            </w:r>
          </w:p>
        </w:tc>
        <w:tc>
          <w:tcPr>
            <w:tcW w:w="180" w:type="dxa"/>
            <w:vAlign w:val="bottom"/>
          </w:tcPr>
          <w:p>
            <w:pPr>
              <w:spacing w:after="0"/>
              <w:rPr>
                <w:sz w:val="14"/>
                <w:szCs w:val="14"/>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Period</w:t>
            </w:r>
          </w:p>
        </w:tc>
        <w:tc>
          <w:tcPr>
            <w:tcW w:w="32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(VWAP)</w:t>
            </w: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(Period End)</w:t>
            </w:r>
          </w:p>
        </w:tc>
        <w:tc>
          <w:tcPr>
            <w:tcW w:w="0" w:type="dxa"/>
            <w:vAlign w:val="bottom"/>
          </w:tcPr>
          <w:p>
            <w:pPr>
              <w:spacing w:after="0"/>
              <w:rPr>
                <w:sz w:val="1"/>
                <w:szCs w:val="1"/>
                <w:color w:val="auto"/>
              </w:rPr>
            </w:pPr>
          </w:p>
        </w:tc>
      </w:tr>
      <w:tr>
        <w:trPr>
          <w:trHeight w:val="196"/>
        </w:trPr>
        <w:tc>
          <w:tcPr>
            <w:tcW w:w="2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Annual</w:t>
            </w:r>
          </w:p>
        </w:tc>
        <w:tc>
          <w:tcPr>
            <w:tcW w:w="3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Fiscal 2020</w:t>
            </w:r>
            <w:r>
              <w:rPr>
                <w:rFonts w:ascii="Arial" w:cs="Arial" w:eastAsia="Arial" w:hAnsi="Arial"/>
                <w:sz w:val="15"/>
                <w:szCs w:val="15"/>
                <w:color w:val="auto"/>
              </w:rPr>
              <w:t>(1)</w:t>
            </w:r>
          </w:p>
        </w:tc>
        <w:tc>
          <w:tcPr>
            <w:tcW w:w="4340" w:type="dxa"/>
            <w:vAlign w:val="bottom"/>
            <w:gridSpan w:val="3"/>
          </w:tcPr>
          <w:p>
            <w:pPr>
              <w:jc w:val="right"/>
              <w:ind w:right="580"/>
              <w:spacing w:after="0"/>
              <w:rPr>
                <w:sz w:val="20"/>
                <w:szCs w:val="20"/>
                <w:color w:val="auto"/>
              </w:rPr>
            </w:pPr>
            <w:r>
              <w:rPr>
                <w:rFonts w:ascii="Arial" w:cs="Arial" w:eastAsia="Arial" w:hAnsi="Arial"/>
                <w:sz w:val="18"/>
                <w:szCs w:val="18"/>
                <w:color w:val="auto"/>
              </w:rPr>
              <w:t>$ 15.82</w:t>
            </w:r>
          </w:p>
        </w:tc>
        <w:tc>
          <w:tcPr>
            <w:tcW w:w="1300" w:type="dxa"/>
            <w:vAlign w:val="bottom"/>
            <w:gridSpan w:val="3"/>
          </w:tcPr>
          <w:p>
            <w:pPr>
              <w:jc w:val="right"/>
              <w:ind w:right="660"/>
              <w:spacing w:after="0"/>
              <w:rPr>
                <w:sz w:val="20"/>
                <w:szCs w:val="20"/>
                <w:color w:val="auto"/>
              </w:rPr>
            </w:pPr>
            <w:r>
              <w:rPr>
                <w:rFonts w:ascii="Arial" w:cs="Arial" w:eastAsia="Arial" w:hAnsi="Arial"/>
                <w:sz w:val="18"/>
                <w:szCs w:val="18"/>
                <w:color w:val="auto"/>
              </w:rPr>
              <w:t>$ 15.82</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w w:val="94"/>
              </w:rPr>
              <w:t>4,647,127</w:t>
            </w:r>
          </w:p>
        </w:tc>
        <w:tc>
          <w:tcPr>
            <w:tcW w:w="158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$ 15.82</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Quarterly</w:t>
            </w:r>
          </w:p>
        </w:tc>
        <w:tc>
          <w:tcPr>
            <w:tcW w:w="3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First Quarter Fiscal 2021</w:t>
            </w: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91"/>
              </w:rPr>
              <w:t>Second Quarter Fiscal 2021</w:t>
            </w:r>
          </w:p>
        </w:tc>
        <w:tc>
          <w:tcPr>
            <w:tcW w:w="3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0" w:lineRule="exact"/>
        <w:rPr>
          <w:sz w:val="20"/>
          <w:szCs w:val="20"/>
          <w:color w:val="auto"/>
        </w:rPr>
      </w:pPr>
    </w:p>
    <w:p>
      <w:pPr>
        <w:ind w:left="460" w:right="60" w:hanging="452"/>
        <w:spacing w:after="0" w:line="231" w:lineRule="auto"/>
        <w:tabs>
          <w:tab w:leader="none" w:pos="4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In September 2019, we entered into a participation agreement with an entity affiliated with Lead Edge Capital, LEC Asana Holdings, LLC; 8VC Co-Invest Fund I, L.P.; WiL Fund I, L.P.; and Tiger Global Private Investment Partners XI, L.P. and an affiliate thereof, pursuant to which we agreed to waive certain transfer restrictions in connection with a tender offer that such parties proposed to commence. In October 2019, these holders conducted a tender offer for shares of our outstanding Class B common stock and Class A common stock from our stockholders and purchased an aggregate of 4,647,127 shares of our outstanding Class B common stock and Class A common stock from our stockholders, at a purchase price of $15.82 per share, for an aggregate purchase price of approximately $73.5 million.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459"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MATERIAL U.S. FEDERAL INCOME TAX CONSIDERATIONS FOR</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NON-U.S. HOLDERS OF COMMON STOCK</w:t>
      </w:r>
    </w:p>
    <w:p>
      <w:pPr>
        <w:spacing w:after="0" w:line="211"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acquisition, ownership, and disposition of our Class A common stock.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or any tax consequences arising under any state, local, or foreign tax laws, or any other U.S. federal tax laws. This discussion is based on the U.S. Internal Revenue Code of 1986, as amended, or the Code, Treasury Regulations promulgated thereunder, judicial decisions, and published rulings and administrative pronouncements of the Internal Revenue Service, or the IRS, all as in effect as of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85"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This discussion is limited to non-U.S. holders who purchase our Class A common stock pursuant to this prospectus and who hold our Class A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3" w:lineRule="exact"/>
        <w:rPr>
          <w:sz w:val="20"/>
          <w:szCs w:val="20"/>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subject to special tax accounting rules under Section 451(b) of the Code;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persons who hold or receive our Class A common stock pursuant to the exercise of any employee stock option or otherwise as compensation;</w:t>
      </w:r>
    </w:p>
    <w:p>
      <w:pPr>
        <w:spacing w:after="0" w:line="153" w:lineRule="exact"/>
        <w:rPr>
          <w:rFonts w:ascii="Arial" w:cs="Arial" w:eastAsia="Arial" w:hAnsi="Arial"/>
          <w:sz w:val="16"/>
          <w:szCs w:val="16"/>
          <w:color w:val="auto"/>
        </w:rPr>
      </w:pPr>
    </w:p>
    <w:p>
      <w:pPr>
        <w:ind w:left="1000" w:right="220" w:hanging="547"/>
        <w:spacing w:after="0" w:line="277"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Class A common stock;</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30" w:lineRule="exact"/>
        <w:rPr>
          <w:rFonts w:ascii="Arial" w:cs="Arial" w:eastAsia="Arial" w:hAnsi="Arial"/>
          <w:sz w:val="18"/>
          <w:szCs w:val="18"/>
          <w:color w:val="auto"/>
        </w:rPr>
      </w:pPr>
    </w:p>
    <w:p>
      <w:pPr>
        <w:ind w:left="1000" w:right="320" w:hanging="547"/>
        <w:spacing w:after="0" w:line="277"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hedging or conversion transaction or straddle, or a constructive sale, or other risk reduction strategy or integrated investment.</w:t>
      </w:r>
    </w:p>
    <w:p>
      <w:pPr>
        <w:spacing w:after="0" w:line="170"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Class A common stock, the U.S. federal income tax treatment of a partner in the partnership will generally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80"/>
          </w:cols>
          <w:pgMar w:left="320" w:top="459" w:right="3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depend on the status of the partner and the activities of the partnership. Partnerships holding our Class A common stock and the partners in such partnerships are urged to consult their tax advisors about the particular U.S. federal income tax consequences to them of holding and disposing of our Class A common stock.</w:t>
      </w:r>
    </w:p>
    <w:p>
      <w:pPr>
        <w:spacing w:after="0" w:line="180"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b w:val="1"/>
          <w:bCs w:val="1"/>
          <w:color w:val="auto"/>
        </w:rPr>
        <w:t>THIS DISCUSSION IS FOR INFORMATIONAL PURPOSES ONLY AND IS NOT ADVICE. PROSPECTIVE INVESTORS SHOULD CONSULT THEIR TAX ADVISORS REGARDING THE PARTICULAR U.S. FEDERAL INCOME TAX CONSEQUENCES TO THEM OF ACQUIRING, OWNING, AND DISPOSING OF OUR CLASS A COMMON STOCK, AS WELL AS ANY TAX CONSEQUENCES ARISING UNDER ANY STATE, LOCAL, OR FOREIGN TAX LAWS AND ANY OTHER U.S. FEDERAL TAX LAWS. IN ADDITION, SIGNIFICANT CHANGES IN U.S. FEDERAL TAX LAWS WERE RECENTLY ENACTED. PROSPECTIVE INVESTORS SHOULD ALSO CONSULT WITH THEIR TAX ADVISORS WITH RESPECT TO SUCH CHANGES IN U.S. TAX LAW AS WELL AS POTENTIAL CONFORMING CHANGES IN STATE TAX LAWS.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89" w:lineRule="exact"/>
        <w:rPr>
          <w:sz w:val="20"/>
          <w:szCs w:val="20"/>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(or any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1000" w:right="120" w:hanging="547"/>
        <w:spacing w:after="0" w:line="263"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As described under the section titled “Dividend Policy,” we have not paid and do not anticipate paying dividends. However, if we make cash or other property distributions on our Class A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Class A common stock, but not below zero. Any excess amount distributed will be treated as gain realized on the sale or other disposition of our Class A common stock and will be treated as described under the section titled “—Gain On Disposition of Our Class A Common Stock” below.</w:t>
      </w:r>
    </w:p>
    <w:p>
      <w:pPr>
        <w:spacing w:after="0" w:line="195"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Subject to the discussion below regarding effectively connected income, backup withholding and FATCA (as defined below),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us or our withholding agent a valid IRS Form W-8BEN or IRS Form W-8BEN-E (or applicable successor form) certifying such holder’s qualification for the reduced rate. This certification must be provided to us or our withholding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320" w:top="459" w:right="3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If a non-U.S. holder holds our Class A common stock in connection with the conduct of a trade or business in the United States, and dividends paid on our Class A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88"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7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Subject to the discussion below regarding backup withholding and FATCA, a non-U.S. holder generally will not be subject to U.S. federal income tax on any gain realized on the sale or other disposition of our Class A common stock, unless:</w:t>
      </w:r>
    </w:p>
    <w:p>
      <w:pPr>
        <w:spacing w:after="0" w:line="76" w:lineRule="exact"/>
        <w:rPr>
          <w:sz w:val="20"/>
          <w:szCs w:val="20"/>
          <w:color w:val="auto"/>
        </w:rPr>
      </w:pPr>
    </w:p>
    <w:p>
      <w:pPr>
        <w:ind w:left="1000" w:right="500" w:hanging="547"/>
        <w:spacing w:after="0" w:line="263"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89" w:lineRule="exact"/>
        <w:rPr>
          <w:rFonts w:ascii="Arial" w:cs="Arial" w:eastAsia="Arial" w:hAnsi="Arial"/>
          <w:sz w:val="18"/>
          <w:szCs w:val="18"/>
          <w:color w:val="auto"/>
        </w:rPr>
      </w:pPr>
    </w:p>
    <w:p>
      <w:pPr>
        <w:ind w:left="1000" w:right="740" w:hanging="547"/>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00" w:right="20" w:hanging="547"/>
        <w:spacing w:after="0" w:line="279" w:lineRule="auto"/>
        <w:tabs>
          <w:tab w:leader="none" w:pos="10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our Class A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Class A common stock, and our Class A common stock is not regularly traded on an established securities market during the calendar year in which the sale or other disposition occurs.</w:t>
      </w:r>
    </w:p>
    <w:p>
      <w:pPr>
        <w:spacing w:after="0" w:line="171" w:lineRule="exact"/>
        <w:rPr>
          <w:sz w:val="20"/>
          <w:szCs w:val="20"/>
          <w:color w:val="auto"/>
        </w:rPr>
      </w:pPr>
    </w:p>
    <w:p>
      <w:pPr>
        <w:jc w:val="both"/>
        <w:ind w:right="220" w:firstLine="449"/>
        <w:spacing w:after="0" w:line="286" w:lineRule="auto"/>
        <w:rPr>
          <w:sz w:val="20"/>
          <w:szCs w:val="20"/>
          <w:color w:val="auto"/>
        </w:rPr>
      </w:pPr>
      <w:r>
        <w:rPr>
          <w:rFonts w:ascii="Arial" w:cs="Arial" w:eastAsia="Arial" w:hAnsi="Arial"/>
          <w:sz w:val="17"/>
          <w:szCs w:val="17"/>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165"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459"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 Non-U.S. holders should consult their tax advisors regarding any applicable income tax treaties that may provide for different rules.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Annual reports are required to be filed with the IRS and provided to each non-U.S. holder indicating the amount of dividends on our Class A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applicable successor form), or certain other requirements are met. Backup withholding may apply if the payor has actual knowledge, or reason to know, that the holder is a U.S. person who is not an exempt recipient.</w:t>
      </w:r>
    </w:p>
    <w:p>
      <w:pPr>
        <w:spacing w:after="0" w:line="181"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on Foreign Entities</w:t>
      </w:r>
    </w:p>
    <w:p>
      <w:pPr>
        <w:spacing w:after="0" w:line="121"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Sections 1471 through 1474 of the Code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either certifies that it does not have any “substantial United States owners” as defined in the Code or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The withholding provisions described above currently apply to payments of dividends on our Class A common stock. Subject to the recently released proposed Treasury Regulations described below, FATCA will also apply to gross proceeds from sales or other dispositions of our Class A common stock after December 31, 2018. The Treasury Department recently released proposed regulations which, if finalized in their present form, would eliminate the federal withholding tax of 30% applicable to the gross proceeds of a sale or other disposition of our Class A common stock. In its preamble to such proposed regulations, the U.S. Treasury Department stated that taxpayers may generally rely on the proposed regulations until final regulations are issued.</w:t>
      </w:r>
    </w:p>
    <w:p>
      <w:pPr>
        <w:spacing w:after="0" w:line="184"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FATCA on their investment in our Class A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tabs>
          <w:tab w:leader="none" w:pos="10680" w:val="left"/>
        </w:tabs>
        <w:rPr>
          <w:sz w:val="20"/>
          <w:szCs w:val="20"/>
          <w:color w:val="auto"/>
        </w:rPr>
      </w:pPr>
      <w:r>
        <w:rPr>
          <w:rFonts w:ascii="Arial" w:cs="Arial" w:eastAsia="Arial" w:hAnsi="Arial"/>
          <w:sz w:val="17"/>
          <w:szCs w:val="17"/>
          <w:color w:val="auto"/>
        </w:rPr>
        <w:t>The Registered Stockholders may sell their shares of Class A common stock covered hereby pursuant to brokerage transactions on the</w:t>
      </w:r>
      <w:r>
        <w:rPr>
          <w:sz w:val="20"/>
          <w:szCs w:val="20"/>
          <w:color w:val="auto"/>
        </w:rPr>
        <w:tab/>
      </w:r>
      <w:r>
        <w:rPr>
          <w:rFonts w:ascii="Arial" w:cs="Arial" w:eastAsia="Arial" w:hAnsi="Arial"/>
          <w:sz w:val="16"/>
          <w:szCs w:val="16"/>
          <w:color w:val="auto"/>
        </w:rPr>
        <w:t>, or</w:t>
      </w:r>
    </w:p>
    <w:p>
      <w:pPr>
        <w:spacing w:after="0" w:line="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other public exchanges or registered alternative trading venues, at prevailing market prices at any time after the shares of Class A common stock are listed for trading. We are not party to any arrangement with any Registered Stockholder or any broker-dealer with respect to sales of shares of Class A common stock by the Registered Stockholders, except we have engaged financial advisors with respect to certain other matters relating to our listing, as further described below. As such, we will have no input if and when any Registered Stockholder may, or may not, elect to sell their shares of Class A common stock or the prices at which any such sales may occur, and there can be no assurance that any Registered Stockholders will sell any or all of the shares of Class A common stock covered by this prospectus.</w:t>
      </w:r>
    </w:p>
    <w:p>
      <w:pPr>
        <w:spacing w:after="0" w:line="194"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We will not receive any proceeds from the sale of shares of Class A common stock by the Registered Stockholders. We expect to recognize certain non-recurring costs as part of our transition to a publicly-traded company, consisting of professional fees and other expenses. As part of our direct listing, these fees will be expensed in the period incurred and not deducted from net proceeds to the issuer as they would be in an initial public offering.</w:t>
      </w:r>
    </w:p>
    <w:p>
      <w:pPr>
        <w:spacing w:after="0" w:line="149"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In addition to sales made pursuant to this prospectus, the shares of Class A common stock covered by this prospectus may be sold by the Registered Stockholders in private transactions exempt from the registration requirements of the Securities Act.</w:t>
      </w:r>
    </w:p>
    <w:p>
      <w:pPr>
        <w:spacing w:after="0" w:line="170"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Under the securities laws of some states, shares of Class A common stock may be sold in such states only through registered or licensed brokers or dealers.</w:t>
      </w:r>
    </w:p>
    <w:p>
      <w:pPr>
        <w:spacing w:after="0" w:line="170"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If any of the Registered Stockholders utilize a broker-dealer in the sale of the shares of Class A common stock being offered by this prospectus, such broker-dealer may receive commissions in the form of discounts, concessions, or commissions from such Registered Stockholder, or commissions from purchasers of the shares of Class A common stock for whom they may act as agent or to whom they may sell as principal (which discounts, concessions, or commissions as to particular broker-dealers may be in excess of those customary in the types of transactions involved).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80"/>
          </w:cols>
          <w:pgMar w:left="320" w:top="459" w:right="3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Cooley LLP, Palo Alto, California, and Orrick, Herrington &amp; Sutcliffe LLP, Menlo Park, California, are our legal advisors. Latham &amp; Watkins LLP is legal advisor to the financial advisors.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360" w:firstLine="449"/>
        <w:spacing w:after="0" w:line="263" w:lineRule="auto"/>
        <w:rPr>
          <w:sz w:val="20"/>
          <w:szCs w:val="20"/>
          <w:color w:val="auto"/>
        </w:rPr>
      </w:pPr>
      <w:r>
        <w:rPr>
          <w:rFonts w:ascii="Arial" w:cs="Arial" w:eastAsia="Arial" w:hAnsi="Arial"/>
          <w:sz w:val="18"/>
          <w:szCs w:val="18"/>
          <w:color w:val="auto"/>
        </w:rPr>
        <w:t>The financial statements as of January 31, 2019 and for the year then ended included in this prospectus have been so included in reliance on the report of PricewaterhouseCoopers LLP, an independent registered public accounting firm, given on the authority of said firm as experts in auditing and accounting.</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Class A common stock covered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www.sec.gov.</w:t>
      </w:r>
    </w:p>
    <w:p>
      <w:pPr>
        <w:spacing w:after="0" w:line="196"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Upon the effectiveness of the registration statement of which this prospectus forms a part,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website of the SEC referred to above. We also maintain a website at https://asana.com. Upon the effectiveness of the registration statement of which this prospectus forms a part,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459"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80" w:type="dxa"/>
            <w:vAlign w:val="bottom"/>
            <w:vMerge w:val="restart"/>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088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Consolidated Balance Sheet</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Consolidated Statement of Operations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Consolidated Statement of Comprehensive Loss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Consolidated Statement of Redeemable Convertible Preferred Stock and Stockholders’ Deficit</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Consolidated Statement of Cash Flows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30"/>
        </w:trPr>
        <w:tc>
          <w:tcPr>
            <w:tcW w:w="10880" w:type="dxa"/>
            <w:vAlign w:val="bottom"/>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Notes to Consolidated Financial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64"/>
        </w:trPr>
        <w:tc>
          <w:tcPr>
            <w:tcW w:w="10880" w:type="dxa"/>
            <w:vAlign w:val="bottom"/>
          </w:tcPr>
          <w:p>
            <w:pPr>
              <w:ind w:left="550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Asana,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have audited the accompanying consolidated balance sheet of Asana, Inc. and its subsidiaries (the “Company”) as of January 31, 2019, and the related consolidated statements of operations, of comprehensive loss, of redeemable convertible preferred stock and stockholders’ deficit and of cash flows for the year then ended, including the related notes (collectively referred to as the “consolidated financial statements”). In our opinion, the consolidated financial statements present fairly, in all material respects, the financial position of the Company as of January 31, 2019, and the results of its operations and its cash flows for the year then ended in conformity with accounting principles generally accepted in the United States of America.</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conducted our audit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65"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459" w:right="3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71"/>
        </w:trPr>
        <w:tc>
          <w:tcPr>
            <w:tcW w:w="8540" w:type="dxa"/>
            <w:vAlign w:val="bottom"/>
          </w:tcPr>
          <w:p>
            <w:pPr>
              <w:spacing w:after="0"/>
              <w:rPr>
                <w:sz w:val="14"/>
                <w:szCs w:val="1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January 31, 2019</w:t>
            </w:r>
          </w:p>
        </w:tc>
        <w:tc>
          <w:tcPr>
            <w:tcW w:w="100" w:type="dxa"/>
            <w:vAlign w:val="bottom"/>
          </w:tcPr>
          <w:p>
            <w:pPr>
              <w:spacing w:after="0"/>
              <w:rPr>
                <w:sz w:val="14"/>
                <w:szCs w:val="14"/>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January 31, 2019</w:t>
            </w:r>
          </w:p>
        </w:tc>
        <w:tc>
          <w:tcPr>
            <w:tcW w:w="0" w:type="dxa"/>
            <w:vAlign w:val="bottom"/>
          </w:tcPr>
          <w:p>
            <w:pPr>
              <w:spacing w:after="0"/>
              <w:rPr>
                <w:sz w:val="1"/>
                <w:szCs w:val="1"/>
                <w:color w:val="auto"/>
              </w:rPr>
            </w:pPr>
          </w:p>
        </w:tc>
      </w:tr>
      <w:tr>
        <w:trPr>
          <w:trHeight w:val="142"/>
        </w:trPr>
        <w:tc>
          <w:tcPr>
            <w:tcW w:w="85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64,189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9,595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103,157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noncurrent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113,749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31,918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44,390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40" w:type="dxa"/>
            <w:vAlign w:val="bottom"/>
          </w:tcPr>
          <w:p>
            <w:pPr>
              <w:ind w:left="180"/>
              <w:spacing w:after="0" w:line="201" w:lineRule="exact"/>
              <w:rPr>
                <w:sz w:val="20"/>
                <w:szCs w:val="20"/>
                <w:color w:val="auto"/>
              </w:rPr>
            </w:pPr>
            <w:r>
              <w:rPr>
                <w:rFonts w:ascii="Arial" w:cs="Arial" w:eastAsia="Arial" w:hAnsi="Arial"/>
                <w:sz w:val="18"/>
                <w:szCs w:val="18"/>
                <w:color w:val="auto"/>
                <w:w w:val="92"/>
              </w:rPr>
              <w:t>Redeemable convertible preferred stock, $0.00001 par value; 151,101 shares authorized as of January 31, 2019;</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w w:val="91"/>
              </w:rPr>
              <w:t>73,547 shares issued and outstanding as of January 31, 2019; liquidation preference of $250,916 at January 31,</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360"/>
              <w:spacing w:after="0"/>
              <w:rPr>
                <w:sz w:val="20"/>
                <w:szCs w:val="20"/>
                <w:color w:val="auto"/>
              </w:rPr>
            </w:pPr>
            <w:r>
              <w:rPr>
                <w:rFonts w:ascii="Arial" w:cs="Arial" w:eastAsia="Arial" w:hAnsi="Arial"/>
                <w:sz w:val="18"/>
                <w:szCs w:val="18"/>
                <w:color w:val="auto"/>
              </w:rPr>
              <w:t>2019; no shares issued and outstanding as of January 31, 2019, pro forma (unaudited)</w:t>
            </w: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250,370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40" w:type="dxa"/>
            <w:vAlign w:val="bottom"/>
          </w:tcPr>
          <w:p>
            <w:pPr>
              <w:ind w:left="180"/>
              <w:spacing w:after="0" w:line="201" w:lineRule="exact"/>
              <w:rPr>
                <w:sz w:val="20"/>
                <w:szCs w:val="20"/>
                <w:color w:val="auto"/>
              </w:rPr>
            </w:pPr>
            <w:r>
              <w:rPr>
                <w:rFonts w:ascii="Arial" w:cs="Arial" w:eastAsia="Arial" w:hAnsi="Arial"/>
                <w:sz w:val="18"/>
                <w:szCs w:val="18"/>
                <w:color w:val="auto"/>
                <w:w w:val="91"/>
              </w:rPr>
              <w:t>Common stock, $0.00001 par value; 540,000 shares authorized as of January 31, 2019; 68,257 shares issued and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w w:val="92"/>
              </w:rPr>
              <w:t>outstanding as of January 31, 2019; 141,803 shares issued and outstanding as of January 31, 2019, pro forma</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360"/>
              <w:spacing w:after="0"/>
              <w:rPr>
                <w:sz w:val="20"/>
                <w:szCs w:val="20"/>
                <w:color w:val="auto"/>
              </w:rPr>
            </w:pPr>
            <w:r>
              <w:rPr>
                <w:rFonts w:ascii="Arial" w:cs="Arial" w:eastAsia="Arial" w:hAnsi="Arial"/>
                <w:sz w:val="18"/>
                <w:szCs w:val="18"/>
                <w:color w:val="auto"/>
              </w:rPr>
              <w:t>(unaudited)</w:t>
            </w: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280,584</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(211,147)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(211,053)</w:t>
            </w:r>
          </w:p>
        </w:tc>
        <w:tc>
          <w:tcPr>
            <w:tcW w:w="0" w:type="dxa"/>
            <w:vAlign w:val="bottom"/>
          </w:tcPr>
          <w:p>
            <w:pPr>
              <w:spacing w:after="0"/>
              <w:rPr>
                <w:sz w:val="1"/>
                <w:szCs w:val="1"/>
                <w:color w:val="auto"/>
              </w:rPr>
            </w:pPr>
          </w:p>
        </w:tc>
      </w:tr>
      <w:tr>
        <w:trPr>
          <w:trHeight w:val="223"/>
        </w:trPr>
        <w:tc>
          <w:tcPr>
            <w:tcW w:w="8540" w:type="dxa"/>
            <w:vAlign w:val="bottom"/>
          </w:tcPr>
          <w:p>
            <w:pPr>
              <w:ind w:left="180"/>
              <w:spacing w:after="0"/>
              <w:rPr>
                <w:sz w:val="20"/>
                <w:szCs w:val="20"/>
                <w:color w:val="auto"/>
              </w:rPr>
            </w:pPr>
            <w:r>
              <w:rPr>
                <w:rFonts w:ascii="Arial" w:cs="Arial" w:eastAsia="Arial" w:hAnsi="Arial"/>
                <w:sz w:val="18"/>
                <w:szCs w:val="18"/>
                <w:color w:val="auto"/>
              </w:rPr>
              <w:t>Total stockholders’ (deficit) equity</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(181,011)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redeemable convertible preferred stock, and stockholders’ (deficit) equity</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113,749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ind w:left="5500"/>
              <w:spacing w:after="0"/>
              <w:rPr>
                <w:sz w:val="20"/>
                <w:szCs w:val="20"/>
                <w:color w:val="auto"/>
              </w:rPr>
            </w:pPr>
            <w:r>
              <w:rPr>
                <w:rFonts w:ascii="Arial" w:cs="Arial" w:eastAsia="Arial" w:hAnsi="Arial"/>
                <w:sz w:val="18"/>
                <w:szCs w:val="18"/>
                <w:color w:val="auto"/>
              </w:rPr>
              <w:t>F-3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jc w:val="center"/>
              <w:ind w:left="2430"/>
              <w:spacing w:after="0"/>
              <w:rPr>
                <w:sz w:val="20"/>
                <w:szCs w:val="20"/>
                <w:color w:val="auto"/>
              </w:rPr>
            </w:pPr>
            <w:r>
              <w:rPr>
                <w:rFonts w:ascii="Arial" w:cs="Arial" w:eastAsia="Arial" w:hAnsi="Arial"/>
                <w:sz w:val="18"/>
                <w:szCs w:val="18"/>
                <w:b w:val="1"/>
                <w:bCs w:val="1"/>
                <w:color w:val="auto"/>
                <w:w w:val="98"/>
              </w:rPr>
              <w:t>ASANA, INC.</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jc w:val="center"/>
              <w:ind w:left="2430"/>
              <w:spacing w:after="0"/>
              <w:rPr>
                <w:sz w:val="20"/>
                <w:szCs w:val="20"/>
                <w:color w:val="auto"/>
              </w:rPr>
            </w:pPr>
            <w:r>
              <w:rPr>
                <w:rFonts w:ascii="Arial" w:cs="Arial" w:eastAsia="Arial" w:hAnsi="Arial"/>
                <w:sz w:val="18"/>
                <w:szCs w:val="18"/>
                <w:b w:val="1"/>
                <w:bCs w:val="1"/>
                <w:color w:val="auto"/>
                <w:w w:val="99"/>
              </w:rPr>
              <w:t>CONSOLIDATED STATEMENT OF OPERATIONS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720" w:type="dxa"/>
            <w:vAlign w:val="bottom"/>
          </w:tcPr>
          <w:p>
            <w:pPr>
              <w:jc w:val="center"/>
              <w:ind w:left="245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8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January 31, 2019</w:t>
            </w:r>
          </w:p>
        </w:tc>
        <w:tc>
          <w:tcPr>
            <w:tcW w:w="0" w:type="dxa"/>
            <w:vAlign w:val="bottom"/>
          </w:tcPr>
          <w:p>
            <w:pPr>
              <w:spacing w:after="0"/>
              <w:rPr>
                <w:sz w:val="1"/>
                <w:szCs w:val="1"/>
                <w:color w:val="auto"/>
              </w:rPr>
            </w:pPr>
          </w:p>
        </w:tc>
      </w:tr>
      <w:tr>
        <w:trPr>
          <w:trHeight w:val="209"/>
        </w:trPr>
        <w:tc>
          <w:tcPr>
            <w:tcW w:w="8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76,770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Cost of revenues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13,832</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62,938</w:t>
            </w:r>
          </w:p>
        </w:tc>
        <w:tc>
          <w:tcPr>
            <w:tcW w:w="0" w:type="dxa"/>
            <w:vAlign w:val="bottom"/>
          </w:tcPr>
          <w:p>
            <w:pPr>
              <w:spacing w:after="0"/>
              <w:rPr>
                <w:sz w:val="1"/>
                <w:szCs w:val="1"/>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42,585</w:t>
            </w:r>
          </w:p>
        </w:tc>
        <w:tc>
          <w:tcPr>
            <w:tcW w:w="0" w:type="dxa"/>
            <w:vAlign w:val="bottom"/>
          </w:tcPr>
          <w:p>
            <w:pPr>
              <w:spacing w:after="0"/>
              <w:rPr>
                <w:sz w:val="1"/>
                <w:szCs w:val="1"/>
                <w:color w:val="auto"/>
              </w:rPr>
            </w:pPr>
          </w:p>
        </w:tc>
      </w:tr>
      <w:tr>
        <w:trPr>
          <w:trHeight w:val="216"/>
        </w:trPr>
        <w:tc>
          <w:tcPr>
            <w:tcW w:w="87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52,106</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20,260</w:t>
            </w:r>
          </w:p>
        </w:tc>
        <w:tc>
          <w:tcPr>
            <w:tcW w:w="0" w:type="dxa"/>
            <w:vAlign w:val="bottom"/>
          </w:tcPr>
          <w:p>
            <w:pPr>
              <w:spacing w:after="0"/>
              <w:rPr>
                <w:sz w:val="1"/>
                <w:szCs w:val="1"/>
                <w:color w:val="auto"/>
              </w:rPr>
            </w:pP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114,951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(52,013)</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(50,900)</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(50,928)</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w:t>
            </w: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Weighted-average shares used in calculating net loss per share:</w:t>
            </w: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65,214</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Pro forma net loss per share (unaudited):</w:t>
            </w: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Weighted-average shares used in calculating pro forma net loss per share (unaudited):</w:t>
            </w: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133,845</w:t>
            </w:r>
          </w:p>
        </w:tc>
        <w:tc>
          <w:tcPr>
            <w:tcW w:w="0" w:type="dxa"/>
            <w:vAlign w:val="bottom"/>
          </w:tcPr>
          <w:p>
            <w:pPr>
              <w:spacing w:after="0"/>
              <w:rPr>
                <w:sz w:val="1"/>
                <w:szCs w:val="1"/>
                <w:color w:val="auto"/>
              </w:rPr>
            </w:pPr>
          </w:p>
        </w:tc>
      </w:tr>
      <w:tr>
        <w:trPr>
          <w:trHeight w:val="20"/>
        </w:trPr>
        <w:tc>
          <w:tcPr>
            <w:tcW w:w="8720" w:type="dxa"/>
            <w:vAlign w:val="bottom"/>
            <w:vMerge w:val="restart"/>
          </w:tcPr>
          <w:p>
            <w:pPr>
              <w:jc w:val="center"/>
              <w:ind w:left="2430"/>
              <w:spacing w:after="0"/>
              <w:rPr>
                <w:sz w:val="20"/>
                <w:szCs w:val="20"/>
                <w:color w:val="auto"/>
              </w:rPr>
            </w:pPr>
            <w:r>
              <w:rPr>
                <w:rFonts w:ascii="Arial" w:cs="Arial" w:eastAsia="Arial" w:hAnsi="Arial"/>
                <w:sz w:val="18"/>
                <w:szCs w:val="18"/>
                <w:color w:val="auto"/>
                <w:w w:val="88"/>
              </w:rPr>
              <w:t>F-4</w:t>
            </w: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7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6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January 31, 2019</w:t>
            </w: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(50,928)</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Other comprehensive gain (loss):</w:t>
            </w:r>
          </w:p>
        </w:tc>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gain on marketable securities</w:t>
            </w:r>
          </w:p>
        </w:tc>
        <w:tc>
          <w:tcPr>
            <w:tcW w:w="5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Change in foreign currency translation adjustments</w:t>
            </w:r>
          </w:p>
        </w:tc>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r>
      <w:tr>
        <w:trPr>
          <w:trHeight w:val="27"/>
        </w:trPr>
        <w:tc>
          <w:tcPr>
            <w:tcW w:w="46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(50,923)</w:t>
            </w:r>
          </w:p>
        </w:tc>
      </w:tr>
      <w:tr>
        <w:trPr>
          <w:trHeight w:val="20"/>
        </w:trPr>
        <w:tc>
          <w:tcPr>
            <w:tcW w:w="46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8"/>
        </w:trPr>
        <w:tc>
          <w:tcPr>
            <w:tcW w:w="4680" w:type="dxa"/>
            <w:vAlign w:val="bottom"/>
          </w:tcPr>
          <w:p>
            <w:pPr>
              <w:spacing w:after="0"/>
              <w:rPr>
                <w:sz w:val="24"/>
                <w:szCs w:val="24"/>
                <w:color w:val="auto"/>
              </w:rPr>
            </w:pPr>
          </w:p>
        </w:tc>
        <w:tc>
          <w:tcPr>
            <w:tcW w:w="5280" w:type="dxa"/>
            <w:vAlign w:val="bottom"/>
            <w:gridSpan w:val="2"/>
          </w:tcPr>
          <w:p>
            <w:pPr>
              <w:jc w:val="right"/>
              <w:ind w:right="4147"/>
              <w:spacing w:after="0"/>
              <w:rPr>
                <w:sz w:val="20"/>
                <w:szCs w:val="20"/>
                <w:color w:val="auto"/>
              </w:rPr>
            </w:pPr>
            <w:r>
              <w:rPr>
                <w:rFonts w:ascii="Arial" w:cs="Arial" w:eastAsia="Arial" w:hAnsi="Arial"/>
                <w:sz w:val="18"/>
                <w:szCs w:val="18"/>
                <w:color w:val="auto"/>
              </w:rPr>
              <w:t>F-5</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REDEEMABLE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3740" w:type="dxa"/>
            <w:vAlign w:val="bottom"/>
          </w:tcPr>
          <w:p>
            <w:pPr>
              <w:spacing w:after="0"/>
              <w:rPr>
                <w:sz w:val="3"/>
                <w:szCs w:val="3"/>
                <w:color w:val="auto"/>
              </w:rPr>
            </w:pPr>
          </w:p>
        </w:tc>
        <w:tc>
          <w:tcPr>
            <w:tcW w:w="1740" w:type="dxa"/>
            <w:vAlign w:val="bottom"/>
            <w:gridSpan w:val="6"/>
            <w:vMerge w:val="restart"/>
          </w:tcPr>
          <w:p>
            <w:pPr>
              <w:jc w:val="right"/>
              <w:ind w:right="120"/>
              <w:spacing w:after="0"/>
              <w:rPr>
                <w:sz w:val="20"/>
                <w:szCs w:val="20"/>
                <w:color w:val="auto"/>
              </w:rPr>
            </w:pPr>
            <w:r>
              <w:rPr>
                <w:rFonts w:ascii="Arial" w:cs="Arial" w:eastAsia="Arial" w:hAnsi="Arial"/>
                <w:sz w:val="14"/>
                <w:szCs w:val="14"/>
                <w:b w:val="1"/>
                <w:bCs w:val="1"/>
                <w:color w:val="auto"/>
                <w:w w:val="97"/>
              </w:rPr>
              <w:t>Redeemable Convertible</w:t>
            </w: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3740" w:type="dxa"/>
            <w:vAlign w:val="bottom"/>
          </w:tcPr>
          <w:p>
            <w:pPr>
              <w:spacing w:after="0"/>
              <w:rPr>
                <w:sz w:val="10"/>
                <w:szCs w:val="10"/>
                <w:color w:val="auto"/>
              </w:rPr>
            </w:pPr>
          </w:p>
        </w:tc>
        <w:tc>
          <w:tcPr>
            <w:tcW w:w="1740" w:type="dxa"/>
            <w:vAlign w:val="bottom"/>
            <w:gridSpan w:val="6"/>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740" w:type="dxa"/>
            <w:vAlign w:val="bottom"/>
          </w:tcPr>
          <w:p>
            <w:pPr>
              <w:spacing w:after="0"/>
              <w:rPr>
                <w:sz w:val="7"/>
                <w:szCs w:val="7"/>
                <w:color w:val="auto"/>
              </w:rPr>
            </w:pPr>
          </w:p>
        </w:tc>
        <w:tc>
          <w:tcPr>
            <w:tcW w:w="1740" w:type="dxa"/>
            <w:vAlign w:val="bottom"/>
            <w:gridSpan w:val="6"/>
            <w:vMerge w:val="continue"/>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restart"/>
          </w:tcPr>
          <w:p>
            <w:pPr>
              <w:jc w:val="right"/>
              <w:ind w:right="301"/>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1720" w:type="dxa"/>
            <w:vAlign w:val="bottom"/>
            <w:gridSpan w:val="5"/>
            <w:vMerge w:val="restart"/>
          </w:tcPr>
          <w:p>
            <w:pPr>
              <w:jc w:val="right"/>
              <w:ind w:right="292"/>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vMerge w:val="restart"/>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4"/>
            <w:vMerge w:val="restart"/>
          </w:tcPr>
          <w:p>
            <w:pPr>
              <w:jc w:val="right"/>
              <w:ind w:right="70"/>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3740" w:type="dxa"/>
            <w:vAlign w:val="bottom"/>
          </w:tcPr>
          <w:p>
            <w:pPr>
              <w:spacing w:after="0"/>
              <w:rPr>
                <w:sz w:val="9"/>
                <w:szCs w:val="9"/>
                <w:color w:val="auto"/>
              </w:rPr>
            </w:pPr>
          </w:p>
        </w:tc>
        <w:tc>
          <w:tcPr>
            <w:tcW w:w="1720" w:type="dxa"/>
            <w:vAlign w:val="bottom"/>
            <w:tcBorders>
              <w:bottom w:val="single" w:sz="8" w:color="auto"/>
            </w:tcBorders>
            <w:gridSpan w:val="5"/>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9"/>
                <w:szCs w:val="9"/>
                <w:color w:val="auto"/>
              </w:rPr>
            </w:pPr>
          </w:p>
        </w:tc>
        <w:tc>
          <w:tcPr>
            <w:tcW w:w="118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9"/>
                <w:szCs w:val="9"/>
                <w:color w:val="auto"/>
              </w:rPr>
            </w:pP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740" w:type="dxa"/>
            <w:vAlign w:val="bottom"/>
          </w:tcPr>
          <w:p>
            <w:pPr>
              <w:spacing w:after="0"/>
              <w:rPr>
                <w:sz w:val="2"/>
                <w:szCs w:val="2"/>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Shares</w:t>
            </w:r>
          </w:p>
        </w:tc>
        <w:tc>
          <w:tcPr>
            <w:tcW w:w="5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7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84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February 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67,317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199,364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63,660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(160,219)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(142,202)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40" w:type="dxa"/>
            <w:vAlign w:val="bottom"/>
          </w:tcPr>
          <w:p>
            <w:pPr>
              <w:ind w:left="180"/>
              <w:spacing w:after="0" w:line="201" w:lineRule="exact"/>
              <w:rPr>
                <w:sz w:val="20"/>
                <w:szCs w:val="20"/>
                <w:color w:val="auto"/>
              </w:rPr>
            </w:pPr>
            <w:r>
              <w:rPr>
                <w:rFonts w:ascii="Arial" w:cs="Arial" w:eastAsia="Arial" w:hAnsi="Arial"/>
                <w:sz w:val="18"/>
                <w:szCs w:val="18"/>
                <w:color w:val="auto"/>
                <w:w w:val="99"/>
              </w:rPr>
              <w:t>Issuance of Series E redeemable convertible</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360"/>
              <w:spacing w:after="0"/>
              <w:rPr>
                <w:sz w:val="20"/>
                <w:szCs w:val="20"/>
                <w:color w:val="auto"/>
              </w:rPr>
            </w:pPr>
            <w:r>
              <w:rPr>
                <w:rFonts w:ascii="Arial" w:cs="Arial" w:eastAsia="Arial" w:hAnsi="Arial"/>
                <w:sz w:val="18"/>
                <w:szCs w:val="18"/>
                <w:color w:val="auto"/>
              </w:rPr>
              <w:t>preferred stock, net of issuance costs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6,230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51,006</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Issuance of common stock upon the exercise of</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CCEEFF"/>
          </w:tcPr>
          <w:p>
            <w:pPr>
              <w:spacing w:after="0"/>
              <w:rPr>
                <w:sz w:val="20"/>
                <w:szCs w:val="20"/>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4,607</w:t>
            </w:r>
          </w:p>
        </w:tc>
        <w:tc>
          <w:tcPr>
            <w:tcW w:w="2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2,930</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Vesting of early exercised stock options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613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8,585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8,585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Net unrealized gain on marketable securities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(50,928)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(50,928)</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b w:val="1"/>
                <w:bCs w:val="1"/>
                <w:color w:val="auto"/>
              </w:rPr>
              <w:t>Balances at January 31, 2019</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73,547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250,370</w:t>
            </w: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68,256</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(211,147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(181,011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4"/>
          </w:tcPr>
          <w:p>
            <w:pPr>
              <w:jc w:val="right"/>
              <w:ind w:right="780"/>
              <w:spacing w:after="0"/>
              <w:rPr>
                <w:sz w:val="20"/>
                <w:szCs w:val="20"/>
                <w:color w:val="auto"/>
              </w:rPr>
            </w:pPr>
            <w:r>
              <w:rPr>
                <w:rFonts w:ascii="Arial" w:cs="Arial" w:eastAsia="Arial" w:hAnsi="Arial"/>
                <w:sz w:val="18"/>
                <w:szCs w:val="18"/>
                <w:color w:val="auto"/>
                <w:w w:val="88"/>
              </w:rPr>
              <w:t>F-6</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962"/>
        <w:spacing w:after="0"/>
        <w:rPr>
          <w:sz w:val="20"/>
          <w:szCs w:val="20"/>
          <w:color w:val="auto"/>
        </w:rPr>
      </w:pPr>
      <w:r>
        <w:rPr>
          <w:rFonts w:ascii="Arial" w:cs="Arial" w:eastAsia="Arial" w:hAnsi="Arial"/>
          <w:sz w:val="18"/>
          <w:szCs w:val="18"/>
          <w:b w:val="1"/>
          <w:bCs w:val="1"/>
          <w:color w:val="auto"/>
        </w:rPr>
        <w:t>ASANA, INC.</w:t>
      </w:r>
    </w:p>
    <w:p>
      <w:pPr>
        <w:spacing w:after="0" w:line="27" w:lineRule="exact"/>
        <w:rPr>
          <w:sz w:val="20"/>
          <w:szCs w:val="20"/>
          <w:color w:val="auto"/>
        </w:rPr>
      </w:pPr>
    </w:p>
    <w:p>
      <w:pPr>
        <w:jc w:val="center"/>
        <w:ind w:left="1962"/>
        <w:spacing w:after="0"/>
        <w:rPr>
          <w:sz w:val="20"/>
          <w:szCs w:val="20"/>
          <w:color w:val="auto"/>
        </w:rPr>
      </w:pPr>
      <w:r>
        <w:rPr>
          <w:rFonts w:ascii="Arial" w:cs="Arial" w:eastAsia="Arial" w:hAnsi="Arial"/>
          <w:sz w:val="17"/>
          <w:szCs w:val="17"/>
          <w:b w:val="1"/>
          <w:bCs w:val="1"/>
          <w:color w:val="auto"/>
        </w:rPr>
        <w:t>CONSOLIDATED STATEMENT OF CASH FLOWS</w:t>
      </w:r>
    </w:p>
    <w:p>
      <w:pPr>
        <w:spacing w:after="0" w:line="21" w:lineRule="exact"/>
        <w:rPr>
          <w:sz w:val="20"/>
          <w:szCs w:val="20"/>
          <w:color w:val="auto"/>
        </w:rPr>
      </w:pPr>
    </w:p>
    <w:p>
      <w:pPr>
        <w:jc w:val="center"/>
        <w:ind w:left="1962"/>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Amortization of deferred contract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Stock-based compensation expense</w:t>
      </w:r>
    </w:p>
    <w:p>
      <w:pPr>
        <w:spacing w:after="0" w:line="9" w:lineRule="exact"/>
        <w:rPr>
          <w:sz w:val="20"/>
          <w:szCs w:val="20"/>
          <w:color w:val="auto"/>
        </w:rPr>
      </w:pPr>
    </w:p>
    <w:p>
      <w:pPr>
        <w:ind w:left="360" w:right="3198"/>
        <w:spacing w:after="0" w:line="281" w:lineRule="auto"/>
        <w:rPr>
          <w:sz w:val="20"/>
          <w:szCs w:val="20"/>
          <w:color w:val="auto"/>
        </w:rPr>
      </w:pPr>
      <w:r>
        <w:rPr>
          <w:rFonts w:ascii="Arial" w:cs="Arial" w:eastAsia="Arial" w:hAnsi="Arial"/>
          <w:sz w:val="16"/>
          <w:szCs w:val="16"/>
          <w:color w:val="auto"/>
        </w:rPr>
        <w:t>Net amortization (accretion) of premium (discount) on marketable securities Change in fair value of redeemable convertible preferred stock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Accrued expenses and other current liabilities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Other liabilities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operating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Purchases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Maturities of marketable securities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Capitalized internal-use software</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used in investing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Repurchases of common stock</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Proceeds from exercise of stock options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Effect of foreign exchange rates on cash and cash equivalents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Beginning of year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End of year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cash, cash equivalents, and restricted cash to the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Restricted cash</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cash, cash equivalents, and restricted cash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Purchase of property and equipment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Vesting of early exercised stock options</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8"/>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58"/>
        <w:spacing w:after="0"/>
        <w:rPr>
          <w:sz w:val="20"/>
          <w:szCs w:val="20"/>
          <w:color w:val="auto"/>
        </w:rPr>
      </w:pPr>
      <w:r>
        <w:rPr>
          <w:rFonts w:ascii="Arial" w:cs="Arial" w:eastAsia="Arial" w:hAnsi="Arial"/>
          <w:sz w:val="13"/>
          <w:szCs w:val="13"/>
          <w:b w:val="1"/>
          <w:bCs w:val="1"/>
          <w:u w:val="single" w:color="auto"/>
          <w:color w:val="auto"/>
        </w:rPr>
        <w:t>January 31, 2019</w:t>
      </w:r>
    </w:p>
    <w:p>
      <w:pPr>
        <w:spacing w:after="0" w:line="207" w:lineRule="exact"/>
        <w:rPr>
          <w:sz w:val="20"/>
          <w:szCs w:val="20"/>
          <w:color w:val="auto"/>
        </w:rPr>
      </w:pPr>
    </w:p>
    <w:p>
      <w:pPr>
        <w:ind w:left="562" w:hanging="562"/>
        <w:spacing w:after="0"/>
        <w:tabs>
          <w:tab w:leader="none" w:pos="562" w:val="left"/>
        </w:tabs>
        <w:numPr>
          <w:ilvl w:val="0"/>
          <w:numId w:val="91"/>
        </w:numPr>
        <w:rPr>
          <w:rFonts w:ascii="Arial" w:cs="Arial" w:eastAsia="Arial" w:hAnsi="Arial"/>
          <w:sz w:val="16"/>
          <w:szCs w:val="16"/>
          <w:color w:val="auto"/>
        </w:rPr>
      </w:pPr>
      <w:r>
        <w:rPr>
          <w:rFonts w:ascii="Arial" w:cs="Arial" w:eastAsia="Arial" w:hAnsi="Arial"/>
          <w:sz w:val="16"/>
          <w:szCs w:val="16"/>
          <w:color w:val="auto"/>
        </w:rPr>
        <w:t>(50,928)</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95</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4,231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322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8,547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35</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(3,427)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(4,534)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(3,690)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4,023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15,089</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12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12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(103,205)</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61,950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12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(44,662)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12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51,006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12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55,293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12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12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(19,545)</w:t>
      </w:r>
    </w:p>
    <w:p>
      <w:pPr>
        <w:spacing w:after="0" w:line="225" w:lineRule="exact"/>
        <w:rPr>
          <w:sz w:val="20"/>
          <w:szCs w:val="20"/>
          <w:color w:val="auto"/>
        </w:rPr>
      </w:pPr>
    </w:p>
    <w:p>
      <w:pPr>
        <w:ind w:left="622"/>
        <w:spacing w:after="0"/>
        <w:rPr>
          <w:sz w:val="20"/>
          <w:szCs w:val="20"/>
          <w:color w:val="auto"/>
        </w:rPr>
      </w:pPr>
      <w:r>
        <w:rPr>
          <w:rFonts w:ascii="Arial" w:cs="Arial" w:eastAsia="Arial" w:hAnsi="Arial"/>
          <w:sz w:val="18"/>
          <w:szCs w:val="18"/>
          <w:color w:val="auto"/>
        </w:rPr>
        <w:t>46,125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12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 w:lineRule="exact"/>
        <w:rPr>
          <w:sz w:val="20"/>
          <w:szCs w:val="20"/>
          <w:color w:val="auto"/>
        </w:rPr>
      </w:pPr>
    </w:p>
    <w:p>
      <w:pPr>
        <w:ind w:left="622" w:hanging="622"/>
        <w:spacing w:after="0"/>
        <w:tabs>
          <w:tab w:leader="none" w:pos="622" w:val="left"/>
        </w:tabs>
        <w:numPr>
          <w:ilvl w:val="0"/>
          <w:numId w:val="92"/>
        </w:numPr>
        <w:rPr>
          <w:rFonts w:ascii="Arial" w:cs="Arial" w:eastAsia="Arial" w:hAnsi="Arial"/>
          <w:sz w:val="18"/>
          <w:szCs w:val="18"/>
          <w:color w:val="auto"/>
        </w:rPr>
      </w:pPr>
      <w:r>
        <w:rPr>
          <w:rFonts w:ascii="Arial" w:cs="Arial" w:eastAsia="Arial" w:hAnsi="Arial"/>
          <w:sz w:val="18"/>
          <w:szCs w:val="18"/>
          <w:color w:val="auto"/>
        </w:rPr>
        <w:t>26,580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12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112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59" w:lineRule="exact"/>
        <w:rPr>
          <w:sz w:val="20"/>
          <w:szCs w:val="20"/>
          <w:color w:val="auto"/>
        </w:rPr>
      </w:pPr>
    </w:p>
    <w:p>
      <w:pPr>
        <w:ind w:left="622" w:hanging="622"/>
        <w:spacing w:after="0"/>
        <w:tabs>
          <w:tab w:leader="none" w:pos="622" w:val="left"/>
        </w:tabs>
        <w:numPr>
          <w:ilvl w:val="0"/>
          <w:numId w:val="93"/>
        </w:numPr>
        <w:rPr>
          <w:rFonts w:ascii="Arial" w:cs="Arial" w:eastAsia="Arial" w:hAnsi="Arial"/>
          <w:sz w:val="18"/>
          <w:szCs w:val="18"/>
          <w:color w:val="auto"/>
        </w:rPr>
      </w:pPr>
      <w:r>
        <w:rPr>
          <w:rFonts w:ascii="Arial" w:cs="Arial" w:eastAsia="Arial" w:hAnsi="Arial"/>
          <w:sz w:val="18"/>
          <w:szCs w:val="18"/>
          <w:color w:val="auto"/>
        </w:rPr>
        <w:t>23,778</w:t>
      </w:r>
    </w:p>
    <w:p>
      <w:pPr>
        <w:spacing w:after="0" w:line="23" w:lineRule="exact"/>
        <w:rPr>
          <w:rFonts w:ascii="Arial" w:cs="Arial" w:eastAsia="Arial" w:hAnsi="Arial"/>
          <w:sz w:val="18"/>
          <w:szCs w:val="18"/>
          <w:color w:val="auto"/>
        </w:rPr>
      </w:pPr>
    </w:p>
    <w:p>
      <w:pPr>
        <w:ind w:left="722"/>
        <w:spacing w:after="0"/>
        <w:rPr>
          <w:rFonts w:ascii="Arial" w:cs="Arial" w:eastAsia="Arial" w:hAnsi="Arial"/>
          <w:sz w:val="18"/>
          <w:szCs w:val="18"/>
          <w:color w:val="auto"/>
        </w:rPr>
      </w:pPr>
      <w:r>
        <w:rPr>
          <w:rFonts w:ascii="Arial" w:cs="Arial" w:eastAsia="Arial" w:hAnsi="Arial"/>
          <w:sz w:val="18"/>
          <w:szCs w:val="18"/>
          <w:color w:val="auto"/>
        </w:rPr>
        <w:t>2,802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12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 w:lineRule="exact"/>
        <w:rPr>
          <w:sz w:val="20"/>
          <w:szCs w:val="20"/>
          <w:color w:val="auto"/>
        </w:rPr>
      </w:pPr>
    </w:p>
    <w:p>
      <w:pPr>
        <w:ind w:left="622" w:hanging="622"/>
        <w:spacing w:after="0"/>
        <w:tabs>
          <w:tab w:leader="none" w:pos="622" w:val="left"/>
        </w:tabs>
        <w:numPr>
          <w:ilvl w:val="0"/>
          <w:numId w:val="94"/>
        </w:numPr>
        <w:rPr>
          <w:rFonts w:ascii="Arial" w:cs="Arial" w:eastAsia="Arial" w:hAnsi="Arial"/>
          <w:sz w:val="18"/>
          <w:szCs w:val="18"/>
          <w:color w:val="auto"/>
        </w:rPr>
      </w:pPr>
      <w:r>
        <w:rPr>
          <w:rFonts w:ascii="Arial" w:cs="Arial" w:eastAsia="Arial" w:hAnsi="Arial"/>
          <w:sz w:val="18"/>
          <w:szCs w:val="18"/>
          <w:color w:val="auto"/>
        </w:rPr>
        <w:t>26,580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12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112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59" w:lineRule="exact"/>
        <w:rPr>
          <w:sz w:val="20"/>
          <w:szCs w:val="20"/>
          <w:color w:val="auto"/>
        </w:rPr>
      </w:pPr>
    </w:p>
    <w:p>
      <w:pPr>
        <w:ind w:left="942" w:hanging="942"/>
        <w:spacing w:after="0"/>
        <w:tabs>
          <w:tab w:leader="none" w:pos="942" w:val="left"/>
        </w:tabs>
        <w:numPr>
          <w:ilvl w:val="0"/>
          <w:numId w:val="95"/>
        </w:numPr>
        <w:rPr>
          <w:rFonts w:ascii="Arial" w:cs="Arial" w:eastAsia="Arial" w:hAnsi="Arial"/>
          <w:sz w:val="18"/>
          <w:szCs w:val="18"/>
          <w:color w:val="auto"/>
        </w:rPr>
      </w:pPr>
      <w:r>
        <w:rPr>
          <w:rFonts w:ascii="Arial" w:cs="Arial" w:eastAsia="Arial" w:hAnsi="Arial"/>
          <w:sz w:val="18"/>
          <w:szCs w:val="18"/>
          <w:color w:val="auto"/>
        </w:rPr>
        <w:t>24</w:t>
      </w:r>
    </w:p>
    <w:p>
      <w:pPr>
        <w:spacing w:after="0" w:line="23" w:lineRule="exact"/>
        <w:rPr>
          <w:rFonts w:ascii="Arial" w:cs="Arial" w:eastAsia="Arial" w:hAnsi="Arial"/>
          <w:sz w:val="18"/>
          <w:szCs w:val="18"/>
          <w:color w:val="auto"/>
        </w:rPr>
      </w:pPr>
    </w:p>
    <w:p>
      <w:pPr>
        <w:ind w:left="842"/>
        <w:spacing w:after="0"/>
        <w:rPr>
          <w:rFonts w:ascii="Arial" w:cs="Arial" w:eastAsia="Arial" w:hAnsi="Arial"/>
          <w:sz w:val="18"/>
          <w:szCs w:val="18"/>
          <w:color w:val="auto"/>
        </w:rPr>
      </w:pPr>
      <w:r>
        <w:rPr>
          <w:rFonts w:ascii="Arial" w:cs="Arial" w:eastAsia="Arial" w:hAnsi="Arial"/>
          <w:sz w:val="18"/>
          <w:szCs w:val="18"/>
          <w:color w:val="auto"/>
        </w:rPr>
        <w:t>613</w:t>
      </w:r>
    </w:p>
    <w:p>
      <w:pPr>
        <w:sectPr>
          <w:pgSz w:w="11900" w:h="16838" w:orient="portrait"/>
          <w:cols w:equalWidth="0" w:num="2">
            <w:col w:w="9278" w:space="720"/>
            <w:col w:w="1182"/>
          </w:cols>
          <w:pgMar w:left="320" w:top="459" w:right="3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Organization and Description of Business</w:t>
      </w:r>
    </w:p>
    <w:p>
      <w:pPr>
        <w:spacing w:after="0" w:line="117" w:lineRule="exact"/>
        <w:rPr>
          <w:sz w:val="20"/>
          <w:szCs w:val="20"/>
          <w:color w:val="auto"/>
        </w:rPr>
      </w:pPr>
    </w:p>
    <w:p>
      <w:pPr>
        <w:ind w:right="220" w:firstLine="449"/>
        <w:spacing w:after="0" w:line="342" w:lineRule="auto"/>
        <w:rPr>
          <w:sz w:val="20"/>
          <w:szCs w:val="20"/>
          <w:color w:val="auto"/>
        </w:rPr>
      </w:pPr>
      <w:r>
        <w:rPr>
          <w:rFonts w:ascii="Arial" w:cs="Arial" w:eastAsia="Arial" w:hAnsi="Arial"/>
          <w:sz w:val="16"/>
          <w:szCs w:val="16"/>
          <w:color w:val="auto"/>
        </w:rPr>
        <w:t>Asana, Inc. (“Asana” or the “Company”) was incorporated in the state of Delaware on December 16, 2008. Asana is a work management platform that helps teams orchestrate work, from daily tasks to cross-functional strategic initiatives. The Company is headquartered in San Francisco, California.</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conformity with generally accepted accounting principles in the United States of America (“U.S. GAAP”) and include the accounts of the Company’s wholly-owned subsidiaries. All intercompany transactions and balances have been eliminated on consolidation.</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January 31. For example, references to fiscal 2019 refer to the fiscal year ended January 31, 2019.</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Pro Forma Balance Sheet Information</w:t>
      </w:r>
    </w:p>
    <w:p>
      <w:pPr>
        <w:spacing w:after="0" w:line="117"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The accompanying unaudited pro forma consolidated balance sheet assumes all shares of the Company’s redeemable convertible preferred stock had automatically converted into 73,546,849 shares of common stock on a one-for-one basis as if such conversion had occurred on January 31, 2019. The Company’s redeemable convertible preferred stock warrants expire upon the earliest of the seven-year anniversary of their issuance, a liquidation transaction, or the closing of a firm commitment underwritten public offering of the Company’s common stock. As a result, the unaudited pro forma balance sheet assumes the expiration of the warrants and the resulting write-off of the redeemable convertible preferred stock warrant liability as of January 31, 2019.</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and disclosed in the consolidated financial statements and accompanying notes. Estimates and assumptions reflected in the consolidated financial statements include, but are not limited to, the useful lives and carrying values of long-lived assets, fair value of common stock, stock-based compensation expense, period of benefit for deferred contract acquisition costs, and income taxes. Actual results could differ from those estimates.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 xml:space="preserve">The Company derives its revenues from monthly and annual subscription fees earned from customers accessing the platform. The Company’s policy is to exclude sales and other indirect taxes when measuring the transaction price of its subscription agreements. The Company accounts for revenue contracts with customers by applying the requirements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includes the following steps:</w:t>
      </w:r>
    </w:p>
    <w:p>
      <w:pPr>
        <w:spacing w:after="0" w:line="54" w:lineRule="exact"/>
        <w:rPr>
          <w:sz w:val="20"/>
          <w:szCs w:val="20"/>
          <w:color w:val="auto"/>
        </w:rPr>
      </w:pPr>
    </w:p>
    <w:p>
      <w:pPr>
        <w:ind w:left="1000" w:hanging="547"/>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Identification of the contract, or contracts, with the customer;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320" w:top="459" w:right="3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Recognition of the revenues when, or as, the Company satisfies a performance obligation.</w:t>
      </w:r>
    </w:p>
    <w:p>
      <w:pPr>
        <w:spacing w:after="0" w:line="225"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The Company’s subscription agreements generally have monthly or annual contractual terms and are billed in advance. Revenues are recognized ratably over the related contractual term beginning on the date that the platform is made available to a customer. The Company recognizes revenues ratably because the customer receives and consumes the benefits of the platform throughout the contractual period. Access to the platform represents a series of distinct services that comprise a single performance obligation that is satisfied over time. The Company’s contracts are generally non-cancelable and do not provide for refunds to customers in the event of cancellations.</w:t>
      </w:r>
    </w:p>
    <w:p>
      <w:pPr>
        <w:spacing w:after="0" w:line="188" w:lineRule="exact"/>
        <w:rPr>
          <w:sz w:val="20"/>
          <w:szCs w:val="20"/>
          <w:color w:val="auto"/>
        </w:rPr>
      </w:pPr>
    </w:p>
    <w:p>
      <w:pPr>
        <w:ind w:right="460" w:firstLine="449"/>
        <w:spacing w:after="0" w:line="342" w:lineRule="auto"/>
        <w:rPr>
          <w:sz w:val="20"/>
          <w:szCs w:val="20"/>
          <w:color w:val="auto"/>
        </w:rPr>
      </w:pPr>
      <w:r>
        <w:rPr>
          <w:rFonts w:ascii="Arial" w:cs="Arial" w:eastAsia="Arial" w:hAnsi="Arial"/>
          <w:sz w:val="16"/>
          <w:szCs w:val="16"/>
          <w:color w:val="auto"/>
        </w:rPr>
        <w:t>A majority of the Company’s contracts give a right to bill for additional usage, which is deemed variable consideration. An estimate of variable consideration is included in the transaction price if it is probable that a significant reversal of cumulative revenue recognized will not occur.</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revenues related to performance obligations that are unsatisfied or partially unsatisfied at the end of the reporting period were</w:t>
      </w:r>
    </w:p>
    <w:p>
      <w:pPr>
        <w:spacing w:after="0" w:line="23"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$31.9 million, presented as deferred revenue in the consolidated balance sheet as of January 31, 2019. The unsatisfied performance obligations will be satisfied over the next twelve months.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Contract Acquisition Costs</w:t>
      </w:r>
    </w:p>
    <w:p>
      <w:pPr>
        <w:spacing w:after="0" w:line="117"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Deferred contract acquisition costs represent gross deferred contract acquisition costs less accumulated amortization. Sales commissions earned by the Company’s sales force and bonuses earned by executives, as well as related payroll taxes, are considered to be incremental and recoverable costs of obtaining a contract with a customer. As a result, these amounts have been capitalized as deferred contract acquisition costs within prepaid and other current assets and other assets on the consolidated balance sheet.</w:t>
      </w:r>
    </w:p>
    <w:p>
      <w:pPr>
        <w:spacing w:after="0" w:line="187"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Deferred contract acquisition costs are amortized over a period of benefit of three years. The period of benefit was estimated by considering factors such as historical customer attrition rates, the useful life of the Company’s technology, and the impact of competition in the software-as-a-service industry. As a result, these amounts have been capitalized as deferred contract acquisition costs.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of deferred contract acquisition costs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7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January 31, 2019</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3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Capitalization of contract acquisition costs</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2,394</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contract acquisition costs</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w:t>
            </w:r>
          </w:p>
        </w:tc>
      </w:tr>
      <w:tr>
        <w:trPr>
          <w:trHeight w:val="223"/>
        </w:trPr>
        <w:tc>
          <w:tcPr>
            <w:tcW w:w="678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3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14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current</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Deferred contract acquisition costs, noncurrent</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1,274</w:t>
            </w:r>
          </w:p>
        </w:tc>
      </w:tr>
      <w:tr>
        <w:trPr>
          <w:trHeight w:val="27"/>
        </w:trPr>
        <w:tc>
          <w:tcPr>
            <w:tcW w:w="67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contract acquisition costs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2,071</w:t>
            </w:r>
          </w:p>
        </w:tc>
      </w:tr>
      <w:tr>
        <w:trPr>
          <w:trHeight w:val="20"/>
        </w:trPr>
        <w:tc>
          <w:tcPr>
            <w:tcW w:w="6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Research and development expenses consist primarily of personnel-related expenses such as salaries and related benefits for the Company’s product development employees. Also included are non-personnel costs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459" w:right="3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product design costs, third-party services and consulting expenses, depreciation expense related to equipment used in research and development activities, and allocation of the Company’s general overhead expenses.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1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Advertising expenses are charged to sales and marketing expense in the consolidated statement of operations as incurred. Advertising expenses were $19.9 million for the year ended January 31, 2019.</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Company records stock-based compensation expense for all stock-based awards made to employees, non-employees, and directors based on estimated fair values recognized over the requisite service period. The fair value of options granted to employees for purposes of calculating stock-based compensation expense is estimated on the grant date using the Black-Scholes pricing model. The Black-Scholes pricing model requires the Company to make assumptions and judgments about the inputs used in the calculation, including the expected term (weighted-average period of time that the options granted are expected to be outstanding), the volatility of the Company’s common stock, risk-free interest rate, and expected dividend yield. The expected term represents the period that the Company’s stock- based awards are expected to be outstanding. The expected term assumptions are determined based on the vesting terms, exercise terms, and contractual lives of the options. The volatility is based on an average of the historical volatilities of the common stock of comparable public companies with characteristics similar to those of the Company. The risk-free rate is based on the U.S. Treasury yield curve in effect at the time of grant for periods corresponding with the expected life of the option. The Company’s expected dividend yield input is zero as it has not historically paid, nor does it expect in the future to pay, cash dividends on its common stock. Stock-based compensation expense is recognized as expense over the requisite service period, which is generally the vesting period of the respective award. The Company uses the straight-line method for expense attribution. The Company accounts for forfeitures as they occur.</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functional currency of each of the Company’s wholly owned subsidiaries is the applicable local currency or the U.S. dollar. The translation of foreign currencies into U.S. dollars is performed for assets and liabilities using current foreign currency exchange rates in effect at the balance sheet date and for revenues and expense accounts using average foreign currency exchange rates during the period. Capital accounts are translated at historical foreign currency exchange rates. Translation gains and losses are included in stockholders’ deficit as a component of accumulated other comprehensive income (loss). Adjustments that arise from foreign currency exchange rate changes on transactions denominated in a currency other than the functional currency are included in other income (expense), net on the consolidated statement of operations and were not material for the year ended January 31, 2019.</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440" w:firstLine="449"/>
        <w:spacing w:after="0" w:line="301" w:lineRule="auto"/>
        <w:rPr>
          <w:sz w:val="20"/>
          <w:szCs w:val="20"/>
          <w:color w:val="auto"/>
        </w:rPr>
      </w:pPr>
      <w:r>
        <w:rPr>
          <w:rFonts w:ascii="Arial" w:cs="Arial" w:eastAsia="Arial" w:hAnsi="Arial"/>
          <w:sz w:val="16"/>
          <w:szCs w:val="16"/>
          <w:color w:val="auto"/>
        </w:rPr>
        <w:t>The Company’s chief operating decision-maker is its Chief Executive Officer (“CEO”), who reviews financial information presented on a consolidated basis for purposes of making operating decisions, assessing financial performance, and allocating resources. The Company manages its operations and allocates resources as a single operating segment. Further, the Company manages, monitors, and reports its financial results as a single reportable segment. For information regarding the Company’s revenues and long-lived assets by geographic area, see Note 12.</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considers all highly liquid investments with original maturities at the date of purchase of three months or less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are stated at cost, which approximates fair value.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459" w:right="3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firstLine="449"/>
        <w:spacing w:after="0" w:line="308" w:lineRule="auto"/>
        <w:rPr>
          <w:sz w:val="20"/>
          <w:szCs w:val="20"/>
          <w:color w:val="auto"/>
        </w:rPr>
      </w:pPr>
      <w:r>
        <w:rPr>
          <w:rFonts w:ascii="Arial" w:cs="Arial" w:eastAsia="Arial" w:hAnsi="Arial"/>
          <w:sz w:val="17"/>
          <w:szCs w:val="17"/>
          <w:color w:val="auto"/>
        </w:rPr>
        <w:t>Under various facilities operating lease agreements, the Company is required to maintain a restricted cash deposit as collateral. The Company had $2.8 million of restricted cash for use as security deposits for standby letters of credit issued to landlords as of January 31, 2019.</w:t>
      </w:r>
    </w:p>
    <w:p>
      <w:pPr>
        <w:spacing w:after="0" w:line="146" w:lineRule="exact"/>
        <w:rPr>
          <w:sz w:val="20"/>
          <w:szCs w:val="20"/>
          <w:color w:val="auto"/>
        </w:rPr>
      </w:pPr>
    </w:p>
    <w:p>
      <w:pPr>
        <w:ind w:right="360" w:firstLine="449"/>
        <w:spacing w:after="0" w:line="263" w:lineRule="auto"/>
        <w:rPr>
          <w:sz w:val="20"/>
          <w:szCs w:val="20"/>
          <w:color w:val="auto"/>
        </w:rPr>
      </w:pPr>
      <w:r>
        <w:rPr>
          <w:rFonts w:ascii="Arial" w:cs="Arial" w:eastAsia="Arial" w:hAnsi="Arial"/>
          <w:sz w:val="18"/>
          <w:szCs w:val="18"/>
          <w:color w:val="auto"/>
        </w:rPr>
        <w:t>Cash, cash equivalents, and restricted cash as reported in the Company’s consolidated statement of cash flows includes the aggregate amounts of cash, cash equivalents, and restricted cash as shown on the consolidated balance sheet. Cash, cash equivalents, and restricted cash as reported in the Company’s consolidated statement of cash flows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As of</w:t>
            </w:r>
          </w:p>
        </w:tc>
      </w:tr>
      <w:tr>
        <w:trPr>
          <w:trHeight w:val="171"/>
        </w:trPr>
        <w:tc>
          <w:tcPr>
            <w:tcW w:w="5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5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February 1, 2018</w:t>
            </w:r>
          </w:p>
        </w:tc>
        <w:tc>
          <w:tcPr>
            <w:tcW w:w="12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January 31, 2019</w:t>
            </w: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44,659</w:t>
            </w:r>
          </w:p>
        </w:tc>
        <w:tc>
          <w:tcPr>
            <w:tcW w:w="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23,778</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Restricted cash</w:t>
            </w:r>
          </w:p>
        </w:tc>
        <w:tc>
          <w:tcPr>
            <w:tcW w:w="2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60" w:type="dxa"/>
            <w:vAlign w:val="bottom"/>
          </w:tcPr>
          <w:p>
            <w:pPr>
              <w:spacing w:after="0"/>
              <w:rPr>
                <w:sz w:val="19"/>
                <w:szCs w:val="19"/>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29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46,125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26,580</w:t>
            </w:r>
          </w:p>
        </w:tc>
      </w:tr>
      <w:tr>
        <w:trPr>
          <w:trHeight w:val="20"/>
        </w:trPr>
        <w:tc>
          <w:tcPr>
            <w:tcW w:w="5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Marketable securities are partially comprised of marketable securities, including U.S. government securities, commercial paper, and corporate bonds with an original maturity or a remaining maturity at the time of purchase of greater than three months and no more than 12 months. These marketable securities are classified as available-for-sale securities and are carried at fair value with unrealized gains and losses reported as a separate component of stockholders’ deficit. Interest receivable on these securities is presented in prepaid expenses and other current assets on the consolidated balance sheet. Realized gains and losses and other-than-temporary impairments, if any, on available-for-sale securities are recognized upon sale and are included in other income (expense), net in the consolidated statement of operations. The cost of securities sold is based on the specific identification method. Marketable securities are reviewed periodically to identify possible other-than-temporary impairments. No impairment loss has been recorded on the securities during the year ended January 31, 2019.</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jc w:val="both"/>
        <w:ind w:right="180" w:firstLine="449"/>
        <w:spacing w:after="0" w:line="263" w:lineRule="auto"/>
        <w:rPr>
          <w:sz w:val="20"/>
          <w:szCs w:val="20"/>
          <w:color w:val="auto"/>
        </w:rPr>
      </w:pPr>
      <w:r>
        <w:rPr>
          <w:rFonts w:ascii="Arial" w:cs="Arial" w:eastAsia="Arial" w:hAnsi="Arial"/>
          <w:sz w:val="18"/>
          <w:szCs w:val="18"/>
          <w:color w:val="auto"/>
        </w:rPr>
        <w:t>Accounts receivable are stated at realizable value, net of allowance for doubtful accounts. The Company’s estimate is based on historical collection experience and a review of the current status of accounts receivable. The Company’s allowance for doubtful accounts was $0.1 million as of January 31, 2019.</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360" w:firstLine="449"/>
        <w:spacing w:after="0" w:line="311"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cash equivalents, and marketable securities. Substantially all the Company’s cash and cash equivalents are held by four financial institutions that management believes are of high credit quality. Such deposits may, at times, exceed federally insured limits. Cash equivalents are invested in highly rated money market funds.</w:t>
      </w:r>
    </w:p>
    <w:p>
      <w:pPr>
        <w:spacing w:after="0" w:line="149" w:lineRule="exact"/>
        <w:rPr>
          <w:sz w:val="20"/>
          <w:szCs w:val="20"/>
          <w:color w:val="auto"/>
        </w:rPr>
      </w:pPr>
    </w:p>
    <w:p>
      <w:pPr>
        <w:ind w:right="220" w:firstLine="449"/>
        <w:spacing w:after="0" w:line="311" w:lineRule="auto"/>
        <w:rPr>
          <w:sz w:val="20"/>
          <w:szCs w:val="20"/>
          <w:color w:val="auto"/>
        </w:rPr>
      </w:pPr>
      <w:r>
        <w:rPr>
          <w:rFonts w:ascii="Arial" w:cs="Arial" w:eastAsia="Arial" w:hAnsi="Arial"/>
          <w:sz w:val="16"/>
          <w:szCs w:val="16"/>
          <w:color w:val="auto"/>
        </w:rPr>
        <w:t>A large portion of the Company’s customers authorize the Company to bill their credit card accounts through the Company’s third-party payment processing partners, presenting additional credit risk. For the year ended January 31, 2019, there were no individual customers that accounted for 10% or more of the Company’s revenues. The Company had one customer that accounted for 12% of accounts receivable as of January 31, 2019.</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carrying amounts reflected in the consolidated balance sheet for cash equivalents, marketable securities, accounts receivable, and accounts payable approximate their respective fair values due to the short maturities of those instruments. Available-for-sale marketable securities are recorded at fair value on the consolidated balance sheet. The Company’s redeemable convertible preferred stock warrant liability is carried at fair value, as discussed in Note 8.</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459" w:right="3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300" w:firstLine="449"/>
        <w:spacing w:after="0" w:line="259" w:lineRule="auto"/>
        <w:rPr>
          <w:sz w:val="20"/>
          <w:szCs w:val="20"/>
          <w:color w:val="auto"/>
        </w:rPr>
      </w:pPr>
      <w:r>
        <w:rPr>
          <w:rFonts w:ascii="Arial" w:cs="Arial" w:eastAsia="Arial" w:hAnsi="Arial"/>
          <w:sz w:val="18"/>
          <w:szCs w:val="18"/>
          <w:color w:val="auto"/>
        </w:rPr>
        <w:t>The Company leases facilities under noncancelable operating leases with various expiration dates through fiscal 2024. Several lease agreements contain clauses for rent abatements. For purposes of recognizing minimum rent expense on a straight-line basis over the term of the lease, the Company uses the date of initial possession to begin amortization. The Company recognizes lease payments on a straight-line basis over the lease term. The Company has no lease agreements that are classified as capital leases.</w:t>
      </w:r>
    </w:p>
    <w:p>
      <w:pPr>
        <w:spacing w:after="0" w:line="18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Rent expense is recognized on a straight-line basis over the term of the leases and accordingly, the Company records the difference between cash rent payments and the recognition of rent expense as a deferred rent liability included within accrued expenses and other current liabilities on the consolidated balance sheet. Incentives granted under the Company’s leases for allowances to fund leasehold improvements are deferred and recognized as adjustments to rent expense on a straight-line basis over the term of the lease.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Company records its property and equipment at cost. Depreciation is computed on the straight-line method over the estimated useful lives of two to three years. Leasehold improvements are amortized over the remaining period of the lease, or the estimated useful life of the improvement, whichever is shorter. Repair and maintenance expenditures, which are not considered improvements and do not extend the useful life of an asset, are expensed as incurred.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60" w:type="dxa"/>
            <w:vAlign w:val="bottom"/>
            <w:gridSpan w:val="2"/>
          </w:tcPr>
          <w:p>
            <w:pPr>
              <w:spacing w:after="0"/>
              <w:rPr>
                <w:sz w:val="20"/>
                <w:szCs w:val="20"/>
                <w:color w:val="auto"/>
              </w:rPr>
            </w:pPr>
            <w:r>
              <w:rPr>
                <w:rFonts w:ascii="Arial" w:cs="Arial" w:eastAsia="Arial" w:hAnsi="Arial"/>
                <w:sz w:val="14"/>
                <w:szCs w:val="14"/>
                <w:b w:val="1"/>
                <w:bCs w:val="1"/>
                <w:color w:val="auto"/>
              </w:rPr>
              <w:t>Asset Type</w:t>
            </w:r>
          </w:p>
        </w:tc>
        <w:tc>
          <w:tcPr>
            <w:tcW w:w="4320" w:type="dxa"/>
            <w:vAlign w:val="bottom"/>
            <w:gridSpan w:val="2"/>
          </w:tcPr>
          <w:p>
            <w:pPr>
              <w:ind w:left="1780"/>
              <w:spacing w:after="0"/>
              <w:rPr>
                <w:sz w:val="20"/>
                <w:szCs w:val="20"/>
                <w:color w:val="auto"/>
              </w:rPr>
            </w:pPr>
            <w:r>
              <w:rPr>
                <w:rFonts w:ascii="Arial" w:cs="Arial" w:eastAsia="Arial" w:hAnsi="Arial"/>
                <w:sz w:val="14"/>
                <w:szCs w:val="14"/>
                <w:b w:val="1"/>
                <w:bCs w:val="1"/>
                <w:color w:val="auto"/>
              </w:rPr>
              <w:t>Life (Years)</w:t>
            </w:r>
          </w:p>
        </w:tc>
      </w:tr>
      <w:tr>
        <w:trPr>
          <w:trHeight w:val="195"/>
        </w:trPr>
        <w:tc>
          <w:tcPr>
            <w:tcW w:w="6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Desktop and other computer equipment</w:t>
            </w:r>
          </w:p>
        </w:tc>
        <w:tc>
          <w:tcPr>
            <w:tcW w:w="120" w:type="dxa"/>
            <w:vAlign w:val="bottom"/>
          </w:tcPr>
          <w:p>
            <w:pPr>
              <w:spacing w:after="0"/>
              <w:rPr>
                <w:sz w:val="16"/>
                <w:szCs w:val="16"/>
                <w:color w:val="auto"/>
              </w:rPr>
            </w:pPr>
          </w:p>
        </w:tc>
        <w:tc>
          <w:tcPr>
            <w:tcW w:w="4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6"/>
                <w:szCs w:val="16"/>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4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4320" w:type="dxa"/>
            <w:vAlign w:val="bottom"/>
            <w:gridSpan w:val="2"/>
          </w:tcPr>
          <w:p>
            <w:pPr>
              <w:ind w:left="1100"/>
              <w:spacing w:after="0"/>
              <w:rPr>
                <w:sz w:val="20"/>
                <w:szCs w:val="20"/>
                <w:color w:val="auto"/>
              </w:rPr>
            </w:pPr>
            <w:r>
              <w:rPr>
                <w:rFonts w:ascii="Arial" w:cs="Arial" w:eastAsia="Arial" w:hAnsi="Arial"/>
                <w:sz w:val="18"/>
                <w:szCs w:val="18"/>
                <w:color w:val="auto"/>
                <w:w w:val="90"/>
              </w:rPr>
              <w:t>Shorter of lease term or estimated useful life</w:t>
            </w: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Capitalized internal-use software</w:t>
            </w:r>
          </w:p>
        </w:tc>
        <w:tc>
          <w:tcPr>
            <w:tcW w:w="4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Capitalized Internal-Use Software</w:t>
      </w:r>
    </w:p>
    <w:p>
      <w:pPr>
        <w:spacing w:after="0" w:line="117" w:lineRule="exact"/>
        <w:rPr>
          <w:sz w:val="20"/>
          <w:szCs w:val="20"/>
          <w:color w:val="auto"/>
        </w:rPr>
      </w:pPr>
    </w:p>
    <w:p>
      <w:pPr>
        <w:jc w:val="both"/>
        <w:ind w:right="420" w:firstLine="449"/>
        <w:spacing w:after="0" w:line="311" w:lineRule="auto"/>
        <w:rPr>
          <w:sz w:val="20"/>
          <w:szCs w:val="20"/>
          <w:color w:val="auto"/>
        </w:rPr>
      </w:pPr>
      <w:r>
        <w:rPr>
          <w:rFonts w:ascii="Arial" w:cs="Arial" w:eastAsia="Arial" w:hAnsi="Arial"/>
          <w:sz w:val="16"/>
          <w:szCs w:val="16"/>
          <w:color w:val="auto"/>
        </w:rPr>
        <w:t>The Company capitalizes certain internal software development costs, consisting primarily of direct labor associated with creating the internally developed software. Capitalized costs are amortized using the straight-line method over the estimated useful life of the software once it is ready for its intended use. The Company believes the straight-line recognition method best approximates the manner in which the expected benefit will be derived.</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The Company evaluates its long-lived assets for impairment whenever events or changes in circumstances indicate that the carrying amount of such asset groups may not be recoverable. Recoverability of assets to be held and used is measured by a comparison of the carrying amount of an asset group to future undiscounted net cash flows expected to be generated by the asset group.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charges have been recorded during the year ended January 31, 2019.</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100" w:firstLine="449"/>
        <w:spacing w:after="0" w:line="311" w:lineRule="auto"/>
        <w:rPr>
          <w:sz w:val="20"/>
          <w:szCs w:val="20"/>
          <w:color w:val="auto"/>
        </w:rPr>
      </w:pPr>
      <w:r>
        <w:rPr>
          <w:rFonts w:ascii="Arial" w:cs="Arial" w:eastAsia="Arial" w:hAnsi="Arial"/>
          <w:sz w:val="16"/>
          <w:szCs w:val="16"/>
          <w:color w:val="auto"/>
        </w:rPr>
        <w:t>The Company accounts for income taxes under the asset and liability method, which requires that deferred income taxes be provided for temporary differences between the tax basis of the Company’s assets and liabilities and their financial statement reported amounts. In addition, deferred tax assets are recorded for the future benefit of utilizing net operating loss carryforwards and research and development credit carryforwards.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A valuation allowance is provided against deferred tax assets unless it is more likely than not that they will be realized. If there is significant negative evidence that the near term realization of certain assets are deemed unlikely, the Company would record a valuation allowance against the deferred tax assets. The Company regularly assesses the continuing need for a valuation allowance against its deferred tax assets. Significant judgment is required to determine whether a valuation allowance continues to be necessary and the amount of such valuation allowance, if appropriate. The Company considers all available evidence, both positive and negative, to determine, based on the weight of available evidence, whether it is more likely than not that some or all of the deferred tax assets will not be realized. In evaluating the continued need for a valuation allowance, the Company considers, among other things, the nature, frequency, and severity of current and cumulative losses, forecasts of future profitability, and the duration of statutory carryforward periods.</w:t>
      </w:r>
    </w:p>
    <w:p>
      <w:pPr>
        <w:spacing w:after="0" w:line="166" w:lineRule="exact"/>
        <w:rPr>
          <w:sz w:val="20"/>
          <w:szCs w:val="20"/>
          <w:color w:val="auto"/>
        </w:rPr>
      </w:pPr>
    </w:p>
    <w:p>
      <w:pPr>
        <w:ind w:right="180" w:firstLine="449"/>
        <w:spacing w:after="0" w:line="311" w:lineRule="auto"/>
        <w:rPr>
          <w:sz w:val="20"/>
          <w:szCs w:val="20"/>
          <w:color w:val="auto"/>
        </w:rPr>
      </w:pPr>
      <w:r>
        <w:rPr>
          <w:rFonts w:ascii="Arial" w:cs="Arial" w:eastAsia="Arial" w:hAnsi="Arial"/>
          <w:sz w:val="16"/>
          <w:szCs w:val="16"/>
          <w:color w:val="auto"/>
        </w:rPr>
        <w:t xml:space="preserve">The Company performs a comprehensive review of potential uncertain tax positions in each jurisdiction in which the Company operates. The Company accounts for uncertain tax positions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prescribes a recognition threshold and measurement attribute for the financial statement recognition and measurement of a tax provision that an entity takes or expects to take in a tax return.</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117"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Redeemable convertible preferred stock warrants for the Company’s Series B redeemable convertible preferred stock are classified as liabilities on the Company’s balance sheet. The redeemable convertible preferred stock warrants are subject to reassessment at each balance sheet date, and any change in fair value is recognized as a component of other income (expense), net. The Company will continue to adjust the liability for changes in fair value until the earlier of when the redeemable convertible preferred stock warrants are exercised or upon expiration on the earlier of the seven-year anniversary of their issuance, a liquidation transaction, or the closing of a firm commitment underwritten public offering of the Company’s common stock.</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Basic and diluted net loss per share attributable to common stockholders is presented in conformity with the two-class method required for participating securities. All series of the Company’s redeemable convertible preferred stock and early exercised stock options are considered to be participating securities because all holders are entitled to receive a non-cumulative dividend on a pari passu basis in the event that a dividend is paid on the common stock. The holders of the redeemable convertible preferred stock and early exercised stock options do not have a contractual obligation to share in the Company’s losses. As such, the Company’s net loss for the year ended January 31, 2019 was not allocated to these participating securities.</w:t>
      </w:r>
    </w:p>
    <w:p>
      <w:pPr>
        <w:spacing w:after="0" w:line="161" w:lineRule="exact"/>
        <w:rPr>
          <w:sz w:val="20"/>
          <w:szCs w:val="20"/>
          <w:color w:val="auto"/>
        </w:rPr>
      </w:pPr>
    </w:p>
    <w:p>
      <w:pPr>
        <w:jc w:val="both"/>
        <w:ind w:right="220" w:firstLine="449"/>
        <w:spacing w:after="0" w:line="311" w:lineRule="auto"/>
        <w:rPr>
          <w:sz w:val="20"/>
          <w:szCs w:val="20"/>
          <w:color w:val="auto"/>
        </w:rPr>
      </w:pPr>
      <w:r>
        <w:rPr>
          <w:rFonts w:ascii="Arial" w:cs="Arial" w:eastAsia="Arial" w:hAnsi="Arial"/>
          <w:sz w:val="16"/>
          <w:szCs w:val="16"/>
          <w:color w:val="auto"/>
        </w:rPr>
        <w:t>The rights, including the liquidation and dividend rights, of the holders of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149"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Under the two-class method, basic net loss per share attributable to common stockholders is computed by dividing the net loss attributable to common stockholders by the weighted-average number of shares of common stock outstanding during the period.</w:t>
      </w:r>
    </w:p>
    <w:p>
      <w:pPr>
        <w:spacing w:after="0" w:line="170" w:lineRule="exact"/>
        <w:rPr>
          <w:sz w:val="20"/>
          <w:szCs w:val="20"/>
          <w:color w:val="auto"/>
        </w:rPr>
      </w:pPr>
    </w:p>
    <w:p>
      <w:pPr>
        <w:ind w:right="340" w:firstLine="449"/>
        <w:spacing w:after="0" w:line="311" w:lineRule="auto"/>
        <w:rPr>
          <w:sz w:val="20"/>
          <w:szCs w:val="20"/>
          <w:color w:val="auto"/>
        </w:rPr>
      </w:pPr>
      <w:r>
        <w:rPr>
          <w:rFonts w:ascii="Arial" w:cs="Arial" w:eastAsia="Arial" w:hAnsi="Arial"/>
          <w:sz w:val="16"/>
          <w:szCs w:val="16"/>
          <w:color w:val="auto"/>
        </w:rPr>
        <w:t>Diluted earnings per share attributable to common stockholders adjusts basic earnings per share for the potentially dilutive impact of redeemable convertible preferred stock warrants, stock options, and redeemable convertible preferred stock. As the Company has reported losses for all periods presented, all potentially dilutive securities are anti-dilutive, and accordingly, basic net loss per share equals diluted net loss per share.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320" w:top="459" w:right="3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jc w:val="both"/>
        <w:ind w:right="80" w:firstLine="449"/>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which modified lease accounting for both lessees and lessors to increase transparency and comparability by recognizing lease assets and lease liabilities by lessees for those leases classified as operating leases under previous accounting standards and disclosing key information about leasing arrangements. The Company estimates approximately $14.0 million to $18.0 million of total right-of-use assets and $16.0 million to $20.0 million of total lease liabilities would be recognized on the consolidated balance sheet as of February 1, 2019, the Company’s adoption date. Other than as disclosed, the Company does not expect the standard to have a material impact on the remaining consolidated financial statements.</w:t>
      </w:r>
    </w:p>
    <w:p>
      <w:pPr>
        <w:spacing w:after="0" w:line="19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requires the measurement and recognition of expected credit losses for financial assets held at amortized cost. It also eliminates the</w:t>
      </w:r>
      <w:r>
        <w:rPr>
          <w:rFonts w:ascii="Arial" w:cs="Arial" w:eastAsia="Arial" w:hAnsi="Arial"/>
          <w:sz w:val="17"/>
          <w:szCs w:val="17"/>
          <w:i w:val="1"/>
          <w:iCs w:val="1"/>
          <w:color w:val="auto"/>
        </w:rPr>
        <w:t xml:space="preserve"> </w:t>
      </w:r>
      <w:r>
        <w:rPr>
          <w:rFonts w:ascii="Arial" w:cs="Arial" w:eastAsia="Arial" w:hAnsi="Arial"/>
          <w:sz w:val="17"/>
          <w:szCs w:val="17"/>
          <w:color w:val="auto"/>
        </w:rPr>
        <w:t>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the Company for fiscal years beginning after December 15, 2022 and interim periods within those fiscal years. Early adoption is permitted. The Company is currently evaluating the impact and timing of adopting ASU No. 2016-13.</w:t>
      </w:r>
    </w:p>
    <w:p>
      <w:pPr>
        <w:spacing w:after="0" w:line="178"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In February 2018, the FASB issued ASU No. 2018-02</w:t>
      </w:r>
      <w:r>
        <w:rPr>
          <w:rFonts w:ascii="Arial" w:cs="Arial" w:eastAsia="Arial" w:hAnsi="Arial"/>
          <w:sz w:val="17"/>
          <w:szCs w:val="17"/>
          <w:i w:val="1"/>
          <w:iCs w:val="1"/>
          <w:color w:val="auto"/>
        </w:rPr>
        <w:t>, Reclassification of Certain Tax Effects from Accumulated Other Comprehensive Income</w:t>
      </w:r>
      <w:r>
        <w:rPr>
          <w:rFonts w:ascii="Arial" w:cs="Arial" w:eastAsia="Arial" w:hAnsi="Arial"/>
          <w:sz w:val="17"/>
          <w:szCs w:val="17"/>
          <w:color w:val="auto"/>
        </w:rPr>
        <w:t>. Under existing U.S. GAAP, the effects of changes in tax rates and laws on deferred tax balances are recorded as a component of income tax expense in the period in which the law was enacted. When deferred tax balances related to items originally recorded in accumulated other comprehensive income are adjusted, certain tax effects become stranded in accumulated other comprehensive income. The amendments in ASU No. 2018-02 allow a reclassification from accumulated other comprehensive income to retained earnings for stranded tax effects resulting from the 2017 Tax Cuts and Jobs Act. The amendments in ASU No. 2018-02 also require certain disclosures about stranded tax effects. The guidance is effective for the Company for fiscal years beginning after December 15, 2018 and interim periods within those fiscal years. The Company does not expect the impact of adoption to have a material impact on its consolidated financial statements.</w:t>
      </w:r>
    </w:p>
    <w:p>
      <w:pPr>
        <w:spacing w:after="0" w:line="178"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In August 2018, the FASB issued ASU No. 2018-13</w:t>
      </w:r>
      <w:r>
        <w:rPr>
          <w:rFonts w:ascii="Arial" w:cs="Arial" w:eastAsia="Arial" w:hAnsi="Arial"/>
          <w:sz w:val="17"/>
          <w:szCs w:val="17"/>
          <w:i w:val="1"/>
          <w:iCs w:val="1"/>
          <w:color w:val="auto"/>
        </w:rPr>
        <w:t>, Fair Value Measurement (Topic 820)</w:t>
      </w:r>
      <w:r>
        <w:rPr>
          <w:rFonts w:ascii="Arial" w:cs="Arial" w:eastAsia="Arial" w:hAnsi="Arial"/>
          <w:sz w:val="17"/>
          <w:szCs w:val="17"/>
          <w:color w:val="auto"/>
        </w:rPr>
        <w:t>, which amends disclosure requirements for fair value measurements by requiring new disclosures, modifying existing requirements, and eliminating others. The amendments are the result of a broader disclosure project, which aims to improve the effectiveness of disclosures. ASU No. 2018-13 is effective for the Company for fiscal years beginning after December 15, 2019 and interim periods within those fiscal years. Early adoption is permitted. The Company does not expect the adoption to have a significant impact on its disclosures and is currently evaluating the timing of adopting ASU No. 2018-13.</w:t>
      </w:r>
    </w:p>
    <w:p>
      <w:pPr>
        <w:spacing w:after="0" w:line="176" w:lineRule="exact"/>
        <w:rPr>
          <w:sz w:val="20"/>
          <w:szCs w:val="20"/>
          <w:color w:val="auto"/>
        </w:rPr>
      </w:pPr>
    </w:p>
    <w:p>
      <w:pPr>
        <w:jc w:val="both"/>
        <w:ind w:right="540" w:firstLine="449"/>
        <w:spacing w:after="0" w:line="287" w:lineRule="auto"/>
        <w:rPr>
          <w:sz w:val="20"/>
          <w:szCs w:val="20"/>
          <w:color w:val="auto"/>
        </w:rPr>
      </w:pPr>
      <w:r>
        <w:rPr>
          <w:rFonts w:ascii="Arial" w:cs="Arial" w:eastAsia="Arial" w:hAnsi="Arial"/>
          <w:sz w:val="16"/>
          <w:szCs w:val="16"/>
          <w:color w:val="auto"/>
        </w:rPr>
        <w:t>In August 2018, the FASB issued ASU No. 2018-15</w:t>
      </w:r>
      <w:r>
        <w:rPr>
          <w:rFonts w:ascii="Arial" w:cs="Arial" w:eastAsia="Arial" w:hAnsi="Arial"/>
          <w:sz w:val="16"/>
          <w:szCs w:val="16"/>
          <w:i w:val="1"/>
          <w:iCs w:val="1"/>
          <w:color w:val="auto"/>
        </w:rPr>
        <w:t>, 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Under existing U.S. GAAP, there is</w:t>
      </w:r>
      <w:r>
        <w:rPr>
          <w:rFonts w:ascii="Arial" w:cs="Arial" w:eastAsia="Arial" w:hAnsi="Arial"/>
          <w:sz w:val="16"/>
          <w:szCs w:val="16"/>
          <w:i w:val="1"/>
          <w:iCs w:val="1"/>
          <w:color w:val="auto"/>
        </w:rPr>
        <w:t xml:space="preserve"> </w:t>
      </w:r>
      <w:r>
        <w:rPr>
          <w:rFonts w:ascii="Arial" w:cs="Arial" w:eastAsia="Arial" w:hAnsi="Arial"/>
          <w:sz w:val="16"/>
          <w:szCs w:val="16"/>
          <w:color w:val="auto"/>
        </w:rPr>
        <w:t>diversity in practice in accounting for the costs of implementing cloud computing arrangements that are service contracts. The amendments in ASU</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No. 2018-15 amend the definition of a hosting arrangement and requires a customer in a hosting arrangement that is a service contract to capitalize certain costs as if the arrangement were an internal-use software project. The guidance is effective for the Company for fiscal years beginning after December 15, 2020 and interim periods within fiscal years beginning after December 15, 2021. Early adoption is permitted. The Company is currently evaluating the impact and timing of adopting ASU No. 2018-15.</w:t>
      </w:r>
    </w:p>
    <w:p>
      <w:pPr>
        <w:spacing w:after="0" w:line="193"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The amendments in the updated guidance simplify the accounting for income taxes by removing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80"/>
          </w:cols>
          <w:pgMar w:left="320" w:top="459" w:right="3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certain exceptions and improving consistent application of other areas of the topic by clarifying the guidance. The amendments in this update are effective for the Company for fiscal years beginning after December 15, 2021 and interim periods within fiscal years beginning after December 15, 2022. Early adoption is permitted. The Company is currently evaluating the impact and timing of adopting ASU No. 2019-12.</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Improvements to Employee Share-Based Payment Accounting (Topic 718),</w:t>
      </w:r>
      <w:r>
        <w:rPr>
          <w:rFonts w:ascii="Arial" w:cs="Arial" w:eastAsia="Arial" w:hAnsi="Arial"/>
          <w:sz w:val="18"/>
          <w:szCs w:val="18"/>
          <w:color w:val="auto"/>
        </w:rPr>
        <w:t xml:space="preserve"> which aligns with the FASB’s current simplification initiatives. The major areas for simplification in ASU No. 2016-09 involve several aspects of the accounting for stock-based payment transactions, including income tax consequences, classification of awards as either equity or liabilities, and classification on the statement of cash flows. Specifically, ASU No. 2016-09 has introduced updates to minimum statutory tax withholding requirements, policy elections surrounding forfeitures, expected term, intrinsic values, and changes to the classification of certain stock-based payment related transactions on the statement of cash flows. The Company adopted ASU No. 2016-09 effective as of February 1, 2018. The adoption of the guidance did not have a material impact on the Company’s consolidated financial statements.</w:t>
      </w:r>
    </w:p>
    <w:p>
      <w:pPr>
        <w:spacing w:after="0" w:line="195"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which clarifies the changes to terms or conditions of a share-based payment award that require an entity to apply modification accounting. The Company adopted ASU 2017-09 as of February 1, 2018. The adoption of the guidance did not have a material impact on the Company’s consolidated financial statements.</w:t>
      </w:r>
    </w:p>
    <w:p>
      <w:pPr>
        <w:spacing w:after="0" w:line="149"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Under existing U.S. GAAP, the measurement date for equity awards granted to non-employees is the earlier of the performance commitment date or the date the performance is complete. The amendments in ASU No. 2018-07 allow for measurement of these awards on the grant date, consistent with equity awards granted to employees. The Company adopted ASU 2018-07 as of February 1, 2018. The adoption of the guidance did not have a material impact on the Company’s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ind w:right="320" w:firstLine="449"/>
        <w:spacing w:after="0" w:line="296" w:lineRule="auto"/>
        <w:rPr>
          <w:sz w:val="20"/>
          <w:szCs w:val="20"/>
          <w:color w:val="auto"/>
        </w:rPr>
      </w:pPr>
      <w:r>
        <w:rPr>
          <w:rFonts w:ascii="Arial" w:cs="Arial" w:eastAsia="Arial" w:hAnsi="Arial"/>
          <w:sz w:val="16"/>
          <w:szCs w:val="16"/>
          <w:color w:val="auto"/>
        </w:rPr>
        <w:t>The Company accounts for its financial assets at fair value. In determining and disclosing fair value, the Company uses a fair value hierarchy established by U.S. GAAP. The guidance defines fair value as an exit price, representing the amount that would be received upon the sale of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Company utilizes a three-tier fair value hierarchy, which prioritizes the inputs used in measuring fair value as follows:</w:t>
      </w:r>
    </w:p>
    <w:p>
      <w:pPr>
        <w:spacing w:after="0" w:line="161"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w:t>
      </w:r>
    </w:p>
    <w:p>
      <w:pPr>
        <w:spacing w:after="0" w:line="225"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the quoted prices in active markets that are observable either directly or indirectly.</w:t>
      </w:r>
    </w:p>
    <w:p>
      <w:pPr>
        <w:spacing w:after="0" w:line="225"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in which there is little or no market data and that are significant to the fair value of the assets or liabilities.</w:t>
      </w:r>
    </w:p>
    <w:p>
      <w:pPr>
        <w:spacing w:after="0" w:line="225" w:lineRule="exact"/>
        <w:rPr>
          <w:sz w:val="20"/>
          <w:szCs w:val="20"/>
          <w:color w:val="auto"/>
        </w:rPr>
      </w:pPr>
    </w:p>
    <w:p>
      <w:pPr>
        <w:ind w:right="920" w:firstLine="449"/>
        <w:spacing w:after="0" w:line="30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320" w:top="459" w:right="3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following table summarizes, for assets and liabilities measured at fair value, the respective fair value and classification by level of input within the fair value hierarchy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January 31, 2019</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7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8"/>
              </w:rPr>
              <w:t>Level 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7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Cash equivalents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22,787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9"/>
              </w:rPr>
              <w:t>$ 22,787</w:t>
            </w:r>
          </w:p>
        </w:tc>
        <w:tc>
          <w:tcPr>
            <w:tcW w:w="40" w:type="dxa"/>
            <w:vAlign w:val="bottom"/>
            <w:shd w:val="clear" w:color="auto" w:fill="CCEEFF"/>
          </w:tcPr>
          <w:p>
            <w:pPr>
              <w:spacing w:after="0"/>
              <w:rPr>
                <w:sz w:val="18"/>
                <w:szCs w:val="18"/>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Total cash equivalents</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22,787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22,787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U.S. treasury bonds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9,530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9,530</w:t>
            </w:r>
          </w:p>
        </w:tc>
        <w:tc>
          <w:tcPr>
            <w:tcW w:w="40" w:type="dxa"/>
            <w:vAlign w:val="bottom"/>
          </w:tcPr>
          <w:p>
            <w:pPr>
              <w:spacing w:after="0"/>
              <w:rPr>
                <w:sz w:val="18"/>
                <w:szCs w:val="18"/>
                <w:color w:val="auto"/>
              </w:rPr>
            </w:pP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38,498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38,498</w:t>
            </w:r>
          </w:p>
        </w:tc>
        <w:tc>
          <w:tcPr>
            <w:tcW w:w="40" w:type="dxa"/>
            <w:vAlign w:val="bottom"/>
            <w:shd w:val="clear" w:color="auto" w:fill="CCEEFF"/>
          </w:tcPr>
          <w:p>
            <w:pPr>
              <w:spacing w:after="0"/>
              <w:rPr>
                <w:sz w:val="18"/>
                <w:szCs w:val="18"/>
                <w:color w:val="auto"/>
              </w:rPr>
            </w:pPr>
          </w:p>
        </w:tc>
      </w:tr>
      <w:tr>
        <w:trPr>
          <w:trHeight w:val="216"/>
        </w:trPr>
        <w:tc>
          <w:tcPr>
            <w:tcW w:w="760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16,161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5"/>
          </w:tcPr>
          <w:p>
            <w:pPr>
              <w:jc w:val="right"/>
              <w:ind w:right="20"/>
              <w:spacing w:after="0"/>
              <w:rPr>
                <w:sz w:val="20"/>
                <w:szCs w:val="20"/>
                <w:color w:val="auto"/>
              </w:rPr>
            </w:pPr>
            <w:r>
              <w:rPr>
                <w:rFonts w:ascii="Arial" w:cs="Arial" w:eastAsia="Arial" w:hAnsi="Arial"/>
                <w:sz w:val="18"/>
                <w:szCs w:val="18"/>
                <w:color w:val="auto"/>
              </w:rPr>
              <w:t>16,161</w:t>
            </w:r>
          </w:p>
        </w:tc>
        <w:tc>
          <w:tcPr>
            <w:tcW w:w="40" w:type="dxa"/>
            <w:vAlign w:val="bottom"/>
          </w:tcPr>
          <w:p>
            <w:pPr>
              <w:spacing w:after="0"/>
              <w:rPr>
                <w:sz w:val="18"/>
                <w:szCs w:val="18"/>
                <w:color w:val="auto"/>
              </w:rPr>
            </w:pP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marketable securities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54,659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64,189</w:t>
            </w:r>
          </w:p>
        </w:tc>
        <w:tc>
          <w:tcPr>
            <w:tcW w:w="40" w:type="dxa"/>
            <w:vAlign w:val="bottom"/>
            <w:shd w:val="clear" w:color="auto" w:fill="CCEEFF"/>
          </w:tcPr>
          <w:p>
            <w:pPr>
              <w:spacing w:after="0"/>
              <w:rPr>
                <w:sz w:val="18"/>
                <w:szCs w:val="18"/>
                <w:color w:val="auto"/>
              </w:rPr>
            </w:pP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32,317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54,659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$ 86,976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94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18"/>
                <w:szCs w:val="18"/>
                <w:color w:val="auto"/>
              </w:rPr>
            </w:pPr>
          </w:p>
        </w:tc>
      </w:tr>
      <w:tr>
        <w:trPr>
          <w:trHeight w:val="27"/>
        </w:trPr>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94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40" w:type="dxa"/>
            <w:vAlign w:val="bottom"/>
            <w:shd w:val="clear" w:color="auto" w:fill="CCEEFF"/>
          </w:tcPr>
          <w:p>
            <w:pPr>
              <w:spacing w:after="0"/>
              <w:rPr>
                <w:sz w:val="18"/>
                <w:szCs w:val="18"/>
                <w:color w:val="auto"/>
              </w:rPr>
            </w:pPr>
          </w:p>
        </w:tc>
      </w:tr>
      <w:tr>
        <w:trPr>
          <w:trHeight w:val="20"/>
        </w:trPr>
        <w:tc>
          <w:tcPr>
            <w:tcW w:w="786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0460" w:type="dxa"/>
            <w:vAlign w:val="bottom"/>
            <w:gridSpan w:val="13"/>
          </w:tcPr>
          <w:p>
            <w:pPr>
              <w:ind w:left="460"/>
              <w:spacing w:after="0"/>
              <w:rPr>
                <w:sz w:val="20"/>
                <w:szCs w:val="20"/>
                <w:color w:val="auto"/>
              </w:rPr>
            </w:pPr>
            <w:r>
              <w:rPr>
                <w:rFonts w:ascii="Arial" w:cs="Arial" w:eastAsia="Arial" w:hAnsi="Arial"/>
                <w:sz w:val="18"/>
                <w:szCs w:val="18"/>
                <w:color w:val="auto"/>
                <w:w w:val="91"/>
              </w:rPr>
              <w:t>There were no transfers of financial assets or liabilities into or out of Level 1, Level 2, or Level 3 during the year ended January 31, 2019.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9500" w:type="dxa"/>
            <w:vAlign w:val="bottom"/>
            <w:gridSpan w:val="9"/>
          </w:tcPr>
          <w:p>
            <w:pPr>
              <w:ind w:left="460"/>
              <w:spacing w:after="0"/>
              <w:rPr>
                <w:sz w:val="20"/>
                <w:szCs w:val="20"/>
                <w:color w:val="auto"/>
              </w:rPr>
            </w:pPr>
            <w:r>
              <w:rPr>
                <w:rFonts w:ascii="Arial" w:cs="Arial" w:eastAsia="Arial" w:hAnsi="Arial"/>
                <w:sz w:val="18"/>
                <w:szCs w:val="18"/>
                <w:color w:val="auto"/>
                <w:w w:val="93"/>
              </w:rPr>
              <w:t>The following table summarizes the change in the redeemable convertible preferred stock warrant liability (in thousands):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7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7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1, 2018</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w w:val="93"/>
              </w:rPr>
              <w:t>Adjustment resulting from change in fair value recognized in the consolidated statement of operations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r>
        <w:trPr>
          <w:trHeight w:val="20"/>
        </w:trPr>
        <w:tc>
          <w:tcPr>
            <w:tcW w:w="7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unrealized gains related to marketable securities on the Company’s consolidated balance sheet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Gross</w:t>
            </w: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Gains</w:t>
            </w: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bonds</w:t>
            </w:r>
          </w:p>
        </w:tc>
        <w:tc>
          <w:tcPr>
            <w:tcW w:w="4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Commercial paper</w:t>
            </w: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38,498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38,498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4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16,139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16,161</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Balances at January 31, 2019</w:t>
            </w:r>
          </w:p>
        </w:tc>
        <w:tc>
          <w:tcPr>
            <w:tcW w:w="4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3"/>
              </w:rPr>
              <w:t>64,166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4800" w:type="dxa"/>
            <w:vAlign w:val="bottom"/>
            <w:gridSpan w:val="2"/>
          </w:tcPr>
          <w:p>
            <w:pPr>
              <w:jc w:val="right"/>
              <w:ind w:right="2707"/>
              <w:spacing w:after="0"/>
              <w:rPr>
                <w:sz w:val="20"/>
                <w:szCs w:val="20"/>
                <w:color w:val="auto"/>
              </w:rPr>
            </w:pPr>
            <w:r>
              <w:rPr>
                <w:rFonts w:ascii="Arial" w:cs="Arial" w:eastAsia="Arial" w:hAnsi="Arial"/>
                <w:sz w:val="18"/>
                <w:szCs w:val="18"/>
                <w:color w:val="auto"/>
              </w:rPr>
              <w:t>F-16</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As of</w:t>
            </w:r>
          </w:p>
        </w:tc>
      </w:tr>
      <w:tr>
        <w:trPr>
          <w:trHeight w:val="171"/>
        </w:trPr>
        <w:tc>
          <w:tcPr>
            <w:tcW w:w="9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January 31, 2019</w:t>
            </w:r>
          </w:p>
        </w:tc>
      </w:tr>
      <w:tr>
        <w:trPr>
          <w:trHeight w:val="209"/>
        </w:trPr>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Desktop and other computer equipment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1,641</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8,704</w:t>
            </w:r>
          </w:p>
        </w:tc>
        <w:tc>
          <w:tcPr>
            <w:tcW w:w="120" w:type="dxa"/>
            <w:vAlign w:val="bottom"/>
            <w:shd w:val="clear" w:color="auto" w:fill="CCEEFF"/>
          </w:tcPr>
          <w:p>
            <w:pPr>
              <w:spacing w:after="0"/>
              <w:rPr>
                <w:sz w:val="18"/>
                <w:szCs w:val="18"/>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Capitalized internal-use software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8,919</w:t>
            </w:r>
          </w:p>
        </w:tc>
        <w:tc>
          <w:tcPr>
            <w:tcW w:w="120" w:type="dxa"/>
            <w:vAlign w:val="bottom"/>
          </w:tcPr>
          <w:p>
            <w:pPr>
              <w:spacing w:after="0"/>
              <w:rPr>
                <w:sz w:val="18"/>
                <w:szCs w:val="18"/>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r>
      <w:tr>
        <w:trPr>
          <w:trHeight w:val="223"/>
        </w:trPr>
        <w:tc>
          <w:tcPr>
            <w:tcW w:w="9880" w:type="dxa"/>
            <w:vAlign w:val="bottom"/>
          </w:tcPr>
          <w:p>
            <w:pPr>
              <w:ind w:left="360"/>
              <w:spacing w:after="0"/>
              <w:rPr>
                <w:sz w:val="20"/>
                <w:szCs w:val="20"/>
                <w:color w:val="auto"/>
              </w:rPr>
            </w:pPr>
            <w:r>
              <w:rPr>
                <w:rFonts w:ascii="Arial" w:cs="Arial" w:eastAsia="Arial" w:hAnsi="Arial"/>
                <w:sz w:val="18"/>
                <w:szCs w:val="18"/>
                <w:color w:val="auto"/>
              </w:rPr>
              <w:t>Total gross property and equipment</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21,568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(17,469)</w:t>
            </w:r>
          </w:p>
        </w:tc>
      </w:tr>
      <w:tr>
        <w:trPr>
          <w:trHeight w:val="223"/>
        </w:trPr>
        <w:tc>
          <w:tcPr>
            <w:tcW w:w="988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9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and amortization expense for the year ended January 31, 2019 was $2.9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changes in the carrying value of capitalized internal-use software costs for the year ended January 31, 2019 are as follows (in thousands):</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Balance as of February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Capitalization of internal-use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internal-use software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January 31, 2019</w:t>
      </w:r>
    </w:p>
    <w:p>
      <w:pPr>
        <w:spacing w:after="0" w:line="36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Prepaid expenses and other current assets consisted of the following (in thousands):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Deferred contract acquisition costs,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prepaid expenses and other current assets</w:t>
      </w:r>
    </w:p>
    <w:p>
      <w:pPr>
        <w:spacing w:after="0" w:line="3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Accrued expenses and other current liabilities consisted of the following (in thousands):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Accrued payroll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Accrued taxes for fringe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accrued expenses and other current liabilities</w:t>
      </w:r>
    </w:p>
    <w:p>
      <w:pPr>
        <w:spacing w:after="0" w:line="21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620"/>
        <w:spacing w:after="0"/>
        <w:rPr>
          <w:sz w:val="20"/>
          <w:szCs w:val="20"/>
          <w:color w:val="auto"/>
        </w:rPr>
      </w:pPr>
      <w:r>
        <w:rPr>
          <w:rFonts w:ascii="Arial" w:cs="Arial" w:eastAsia="Arial" w:hAnsi="Arial"/>
          <w:sz w:val="14"/>
          <w:szCs w:val="14"/>
          <w:b w:val="1"/>
          <w:bCs w:val="1"/>
          <w:u w:val="single" w:color="auto"/>
          <w:color w:val="auto"/>
        </w:rPr>
        <w:t>Amount</w:t>
      </w:r>
    </w:p>
    <w:p>
      <w:pPr>
        <w:spacing w:after="0" w:line="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$ 1,801</w:t>
      </w:r>
    </w:p>
    <w:p>
      <w:pPr>
        <w:spacing w:after="0" w:line="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597</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5715</wp:posOffset>
            </wp:positionV>
            <wp:extent cx="36004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January 31, 2019</w:t>
      </w:r>
    </w:p>
    <w:p>
      <w:pPr>
        <w:spacing w:after="0" w:line="9" w:lineRule="exact"/>
        <w:rPr>
          <w:sz w:val="20"/>
          <w:szCs w:val="20"/>
          <w:color w:val="auto"/>
        </w:rPr>
      </w:pPr>
    </w:p>
    <w:p>
      <w:pPr>
        <w:ind w:left="780" w:hanging="776"/>
        <w:spacing w:after="0"/>
        <w:tabs>
          <w:tab w:leader="none" w:pos="7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7,460</w:t>
      </w:r>
    </w:p>
    <w:p>
      <w:pPr>
        <w:spacing w:after="0" w:line="19"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7"/>
          <w:szCs w:val="17"/>
          <w:color w:val="auto"/>
        </w:rPr>
        <w:t>797</w:t>
      </w:r>
    </w:p>
    <w:p>
      <w:pPr>
        <w:spacing w:after="0" w:line="21" w:lineRule="exact"/>
        <w:rPr>
          <w:sz w:val="20"/>
          <w:szCs w:val="20"/>
          <w:color w:val="auto"/>
        </w:rPr>
      </w:pPr>
    </w:p>
    <w:p>
      <w:pPr>
        <w:ind w:left="780"/>
        <w:spacing w:after="0"/>
        <w:rPr>
          <w:sz w:val="20"/>
          <w:szCs w:val="20"/>
          <w:color w:val="auto"/>
        </w:rPr>
      </w:pPr>
      <w:r>
        <w:rPr>
          <w:rFonts w:ascii="Arial" w:cs="Arial" w:eastAsia="Arial" w:hAnsi="Arial"/>
          <w:sz w:val="17"/>
          <w:szCs w:val="17"/>
          <w:color w:val="auto"/>
        </w:rPr>
        <w:t>1,338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543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3" w:lineRule="exact"/>
        <w:rPr>
          <w:sz w:val="20"/>
          <w:szCs w:val="20"/>
          <w:color w:val="auto"/>
        </w:rPr>
      </w:pPr>
    </w:p>
    <w:p>
      <w:pPr>
        <w:ind w:left="780" w:hanging="776"/>
        <w:spacing w:after="0"/>
        <w:tabs>
          <w:tab w:leader="none" w:pos="7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9,595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543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39370</wp:posOffset>
            </wp:positionV>
            <wp:extent cx="7543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January 31, 2019</w:t>
      </w:r>
    </w:p>
    <w:p>
      <w:pPr>
        <w:spacing w:after="0" w:line="9" w:lineRule="exact"/>
        <w:rPr>
          <w:sz w:val="20"/>
          <w:szCs w:val="20"/>
          <w:color w:val="auto"/>
        </w:rPr>
      </w:pPr>
    </w:p>
    <w:p>
      <w:pPr>
        <w:ind w:left="780" w:hanging="776"/>
        <w:spacing w:after="0"/>
        <w:tabs>
          <w:tab w:leader="none" w:pos="7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2,342</w:t>
      </w:r>
    </w:p>
    <w:p>
      <w:pPr>
        <w:spacing w:after="0" w:line="19"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2,291</w:t>
      </w:r>
    </w:p>
    <w:p>
      <w:pPr>
        <w:spacing w:after="0" w:line="20"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3,297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543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3" w:lineRule="exact"/>
        <w:rPr>
          <w:sz w:val="20"/>
          <w:szCs w:val="20"/>
          <w:color w:val="auto"/>
        </w:rPr>
      </w:pPr>
    </w:p>
    <w:p>
      <w:pPr>
        <w:ind w:left="780" w:hanging="776"/>
        <w:spacing w:after="0"/>
        <w:tabs>
          <w:tab w:leader="none" w:pos="7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7,930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543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5438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39370</wp:posOffset>
            </wp:positionV>
            <wp:extent cx="7543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ectPr>
          <w:pgSz w:w="11900" w:h="16838" w:orient="portrait"/>
          <w:cols w:equalWidth="0" w:num="2">
            <w:col w:w="9260" w:space="720"/>
            <w:col w:w="1260"/>
          </w:cols>
          <w:pgMar w:left="320" w:top="459" w:right="339" w:bottom="1440" w:gutter="0" w:footer="0" w:header="0"/>
          <w:type w:val="continuous"/>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Convertible Promissory Note</w:t>
      </w:r>
    </w:p>
    <w:p>
      <w:pPr>
        <w:spacing w:after="0" w:line="121"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In January 2018, the Company entered into a convertible note purchase agreement with an entity affiliated with its CEO. Pursuant to this convertible note purchase agreement, the Company has the right to sell convertible promissory notes of the Company having an aggregate principal amount of up to $75 million from time to time until January 19, 2023. Each convertible promissory note is to have a maturity date of nine years following the date that the first convertible promissory note is sold by the Company and is to bear interest at the then current prime rate, compounded annually. At the Company’s option, all or any portion of the principal and accrued interest may be converted into either the Company’s equity securities being issued in the Company’s next equity financing at the purchase price per share of such financing or the Company’s most recently completed Series D redeemable convertible preferred stock financing. As of January 31, 2019, the Company has not issued any convertible promissory notes pursuant to this convertible note purchase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leases office space under various operating lease agreements expiring at various dates through fiscal 2024.</w:t>
      </w:r>
    </w:p>
    <w:p>
      <w:pPr>
        <w:spacing w:after="0" w:line="225"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The following is a schedule of the future minimum lease payments required under non-cancelable operating leases as of January 31, 2019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3"/>
              </w:rPr>
              <w:t>Year Ending January 31,</w:t>
            </w:r>
          </w:p>
        </w:tc>
        <w:tc>
          <w:tcPr>
            <w:tcW w:w="8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Minimum Lease</w:t>
            </w:r>
          </w:p>
        </w:tc>
        <w:tc>
          <w:tcPr>
            <w:tcW w:w="0" w:type="dxa"/>
            <w:vAlign w:val="bottom"/>
          </w:tcPr>
          <w:p>
            <w:pPr>
              <w:spacing w:after="0"/>
              <w:rPr>
                <w:sz w:val="1"/>
                <w:szCs w:val="1"/>
                <w:color w:val="auto"/>
              </w:rPr>
            </w:pPr>
          </w:p>
        </w:tc>
      </w:tr>
      <w:tr>
        <w:trPr>
          <w:trHeight w:val="178"/>
        </w:trPr>
        <w:tc>
          <w:tcPr>
            <w:tcW w:w="1540" w:type="dxa"/>
            <w:vAlign w:val="bottom"/>
            <w:tcBorders>
              <w:bottom w:val="single" w:sz="8" w:color="auto"/>
            </w:tcBorders>
            <w:vMerge w:val="continue"/>
          </w:tcPr>
          <w:p>
            <w:pPr>
              <w:spacing w:after="0"/>
              <w:rPr>
                <w:sz w:val="15"/>
                <w:szCs w:val="15"/>
                <w:color w:val="auto"/>
              </w:rPr>
            </w:pPr>
          </w:p>
        </w:tc>
        <w:tc>
          <w:tcPr>
            <w:tcW w:w="8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center"/>
              <w:ind w:right="160"/>
              <w:spacing w:after="0" w:line="158" w:lineRule="exact"/>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846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8,708</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2021</w:t>
            </w: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10,699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2023</w:t>
            </w:r>
          </w:p>
        </w:tc>
        <w:tc>
          <w:tcPr>
            <w:tcW w:w="8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8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29,802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was $5.8 million for the year ended January 31, 2019.</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Standby Letters of Credit</w:t>
      </w:r>
    </w:p>
    <w:p>
      <w:pPr>
        <w:spacing w:after="0" w:line="117" w:lineRule="exact"/>
        <w:rPr>
          <w:sz w:val="20"/>
          <w:szCs w:val="20"/>
          <w:color w:val="auto"/>
        </w:rPr>
      </w:pPr>
    </w:p>
    <w:p>
      <w:pPr>
        <w:jc w:val="both"/>
        <w:ind w:right="20" w:firstLine="449"/>
        <w:spacing w:after="0" w:line="308" w:lineRule="auto"/>
        <w:rPr>
          <w:sz w:val="20"/>
          <w:szCs w:val="20"/>
          <w:color w:val="auto"/>
        </w:rPr>
      </w:pPr>
      <w:r>
        <w:rPr>
          <w:rFonts w:ascii="Arial" w:cs="Arial" w:eastAsia="Arial" w:hAnsi="Arial"/>
          <w:sz w:val="17"/>
          <w:szCs w:val="17"/>
          <w:color w:val="auto"/>
        </w:rPr>
        <w:t>As of January 31, 2019, the Company had several letters of credit outstanding related to its operating leases totaling $2.8 million. The letters of credit expire at various dates between 2021 to 2023. All standby letters of credit are included in restricted cash, noncurrent as of January 31, 2019.</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In December 2018, the Company entered into a 27-month contract with Amazon Web Services for hosting-related services. Pursuant to the terms of the contract, the Company is required to spend a minimum of $9.0 million within the first year and an additional minimum of $11.0 million within the second year. As of January 31, 2019, the Company has $18.5 million remaining on the commitment.</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any liabilities that may arise by reason of their status or service as directors or officers, other than liabilities arising from willful misconduct of the individual.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459"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Additionally, in the ordinary course of business, the Company enters into agreements of varying scope and terms pursuant to which it agrees to indemnify customers,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No demands have been made upon the Company to provide indemnification under such agreements, and there are no claims that the Company is aware of that could have a material adverse effect on its financial position, results of operations, or cash flows.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From time to time in the normal course of business, the Company may be subject to various claims and other legal matters arising in the ordinary course of business. The Company believes that none of its current legal proceedings will have a material adverse effect on its financial position, results of operations, or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Net Loss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basic and diluted net loss per share (in thousands,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7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January 31, 2019</w:t>
            </w:r>
          </w:p>
        </w:tc>
      </w:tr>
      <w:tr>
        <w:trPr>
          <w:trHeight w:val="196"/>
        </w:trPr>
        <w:tc>
          <w:tcPr>
            <w:tcW w:w="7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0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loss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(50,928)</w:t>
            </w:r>
          </w:p>
        </w:tc>
      </w:tr>
      <w:tr>
        <w:trPr>
          <w:trHeight w:val="20"/>
        </w:trPr>
        <w:tc>
          <w:tcPr>
            <w:tcW w:w="7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Weighted-average shares used in calculating net loss per share, basic and diluted</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65,214</w:t>
            </w:r>
          </w:p>
        </w:tc>
      </w:tr>
      <w:tr>
        <w:trPr>
          <w:trHeight w:val="20"/>
        </w:trPr>
        <w:tc>
          <w:tcPr>
            <w:tcW w:w="7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(0.78)</w:t>
            </w:r>
          </w:p>
        </w:tc>
      </w:tr>
      <w:tr>
        <w:trPr>
          <w:trHeight w:val="20"/>
        </w:trPr>
        <w:tc>
          <w:tcPr>
            <w:tcW w:w="7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for the period presented because including them would have been anti-dilutive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9760" w:type="dxa"/>
            <w:vAlign w:val="bottom"/>
          </w:tcPr>
          <w:p>
            <w:pPr>
              <w:spacing w:after="0"/>
              <w:rPr>
                <w:sz w:val="14"/>
                <w:szCs w:val="14"/>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January 31, 2019</w:t>
            </w:r>
          </w:p>
        </w:tc>
      </w:tr>
      <w:tr>
        <w:trPr>
          <w:trHeight w:val="210"/>
        </w:trPr>
        <w:tc>
          <w:tcPr>
            <w:tcW w:w="9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Stock options</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33,878</w:t>
            </w: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Early exercised stock options</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w:t>
            </w:r>
          </w:p>
        </w:tc>
      </w:tr>
      <w:tr>
        <w:trPr>
          <w:trHeight w:val="223"/>
        </w:trPr>
        <w:tc>
          <w:tcPr>
            <w:tcW w:w="9760" w:type="dxa"/>
            <w:vAlign w:val="bottom"/>
          </w:tcPr>
          <w:p>
            <w:pPr>
              <w:spacing w:after="0"/>
              <w:rPr>
                <w:sz w:val="20"/>
                <w:szCs w:val="20"/>
                <w:color w:val="auto"/>
              </w:rPr>
            </w:pPr>
            <w:r>
              <w:rPr>
                <w:rFonts w:ascii="Arial" w:cs="Arial" w:eastAsia="Arial" w:hAnsi="Arial"/>
                <w:sz w:val="18"/>
                <w:szCs w:val="18"/>
                <w:color w:val="auto"/>
              </w:rPr>
              <w:t>Redeemable convertible preferred stock warrants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108,243</w:t>
            </w:r>
          </w:p>
        </w:tc>
      </w:tr>
      <w:tr>
        <w:trPr>
          <w:trHeight w:val="20"/>
        </w:trPr>
        <w:tc>
          <w:tcPr>
            <w:tcW w:w="97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117"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Unaudited pro forma net loss per share for the year ended January 31, 2019 has been computed assuming the conversion of all redeemable convertible preferred stock and the expiration of redeemable convertible preferred stock warrants as of the beginning of the period or the original date of issuance, if later.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459"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pro forma basic and diluted net loss per share (in thousands,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8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January 31, 2019</w:t>
            </w:r>
          </w:p>
        </w:tc>
      </w:tr>
      <w:tr>
        <w:trPr>
          <w:trHeight w:val="142"/>
        </w:trPr>
        <w:tc>
          <w:tcPr>
            <w:tcW w:w="82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Net loss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(50,928)</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redeemable convertible preferred stock warrant liability</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Pro forma net loss</w:t>
            </w:r>
          </w:p>
        </w:tc>
        <w:tc>
          <w:tcPr>
            <w:tcW w:w="16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(50,893)</w:t>
            </w:r>
          </w:p>
        </w:tc>
        <w:tc>
          <w:tcPr>
            <w:tcW w:w="12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Weighted-average shares used in calculating net loss per share, basic and diluted</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65,214</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to reflect conversion of redeemable convertible preferred stock</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68,631</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Weighted-average shares used in computing pro forma net loss per share, basic and diluted</w:t>
            </w:r>
          </w:p>
        </w:tc>
        <w:tc>
          <w:tcPr>
            <w:tcW w:w="16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133,845</w:t>
            </w:r>
          </w:p>
        </w:tc>
        <w:tc>
          <w:tcPr>
            <w:tcW w:w="12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basic and diluted</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(0.38)</w:t>
            </w:r>
          </w:p>
        </w:tc>
      </w:tr>
      <w:tr>
        <w:trPr>
          <w:trHeight w:val="20"/>
        </w:trPr>
        <w:tc>
          <w:tcPr>
            <w:tcW w:w="8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Series 1 Redeemable Convertible Preferred Stock and Series A—Series E Redeemable Convertible Preferred Stock</w:t>
      </w:r>
    </w:p>
    <w:p>
      <w:pPr>
        <w:spacing w:after="0" w:line="121"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There are eight authorized series of redeemable convertible preferred stock which total 151,101,040 shares. There have been no shares issued of Series A-1, Series B-1, Series C-1, Series D-1, or Series E-1 redeemable convertible preferred stock.</w:t>
      </w:r>
    </w:p>
    <w:p>
      <w:pPr>
        <w:spacing w:after="0" w:line="170"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In fiscal 2010, one of the Company’s founders exchanged 1,560,000 shares of vested common stock and cash of less than $0.1 million into 1,560,000 shares of Series 1 redeemable convertible preferred stock.</w:t>
      </w:r>
    </w:p>
    <w:p>
      <w:pPr>
        <w:spacing w:after="0" w:line="170"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The following table summarizes the Company’s redeemable convertible preferred stock at January 31, 2019 (in thousands,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9"/>
              </w:rPr>
              <w:t>Shares</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Shares Issued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Original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Liquidation</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Issuance Price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Authorized</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Per Share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Preference</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1</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Series A</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20,771</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20,771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10,416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Series A-1</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20,771</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Series B</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11,000</w:t>
            </w: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10,447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28,193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28,292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11,000</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Series C</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21,000</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20,186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85,980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86,112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Series C-1</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21,000</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Series D</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15,000</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14,353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74,845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15,000</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Series E</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7,000</w:t>
            </w: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6,230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50,931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Series E-1</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151,101</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73,547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250,370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64"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3"/>
          <w:szCs w:val="13"/>
          <w:color w:val="auto"/>
        </w:rPr>
        <w:t>Certain figures may not sum due to rounding.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459" w:right="3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preferences and privileges of the above redeemable convertible preferred stock are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Redeemable Convertible Preferred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Each share of Series 1 redeemable convertible preferred stock is convertible, at the option of the holder, at any time, into shares of Class A common stock determined by dividing $1.00 by the conversion price, which is initially $1.00. Effective immediately upon the purchase by an investor of Series 1 redeemable convertible preferred stock in connection with a future equity financing, each share of Series 1 preferred stock shall automatically convert into shares of the series of preferred stock of the Company issued in the next equity financing (defined as an event where at least $1 million worth of new preferred stock is issued) at the conversion ratio (the inverse of the ratio at which a share of subsequent preferred stock is convertible into common stock of the Company).</w:t>
      </w:r>
    </w:p>
    <w:p>
      <w:pPr>
        <w:spacing w:after="0" w:line="192"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Each share of Series 1 redeemable convertible preferred stock will automatically convert into shares of Class A common stock at the then effective conversion price for each such share immediately upon the earlier of (i) the Company’s sale of its common stock in a firm commitment of an underwritten initial public offering pursuant to a registration statement under the Securities Act of 1933, as amended, which results in aggregate gross proceeds to the Company of $75 million (net of underwriting discounts and commissions), (ii) the date specified by the written consent or agreement of the holders of a majority of the then outstanding shares of Series 1 redeemable convertible preferred stock, voting together as a single class, (iii) immediately following the approval of a liquidation transaction (as defined in the Company’s Amended and Restated Certificate of Incorporation) by the holders of a majority of the then-outstanding shares of common stock, or (iv) the date on which all shares of redeemable convertible preferred stock are automatically converted into shares of common stock pursuant to the vote or written consent of the holders of the majority of the then-outstanding shares of Series A and Series B redeemable convertible preferred stock, voting together as a single class.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Subject to the dividends that the holders of the outstanding shares of redeemable convertible preferred stock are entitled to receive, the holders of Series 1 redeemable convertible preferred stock shall be entitled to receive noncumulative dividends, when and as declared by the Board, on a pro rata basis with the holders of common stock, based on the number of shares of common stock held by each (assuming conversion of all the Series 1 redeemable convertible preferred stock into common stock). As of January 31, 2019, no dividends have been declared.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Upon liquidation, dissolution or winding up of the Company, the holder of the Series 1 redeemable convertible preferred stock shall be entitled to receive after the payment of the liquidation preference of redeemable convertible preferred stock, all remaining assets available for distribution, if any, to be distributed ratably among the holders of the Series 1 redeemable convertible preferred stock and common stock. If available assets are insufficient to pay the full liquidation preference, the available assets will be distributed pro rata to the holders of the redeemable convertible preferred stock based on the preferential amount each holder is entitled to receive.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The holder of each share of Series 1 redeemable convertible preferred stock has the right to 100 votes for each share of Class A common stock into which such preferred stock could then be converted. Such holder has voting rights and powers equal to those of the holders of common stock and the holders of Series 1 redeemable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convertible preferred stock and common stock shall vote together as a single class on all matters. The holder of shares of Series 1 redeemable convertible preferred stock does not have the right to vote as redeemable convertible preferred stock on any matters.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While Series 1 redeemable convertible preferred stock does not have mandatory redemption provisions, it is contingently redeemable upon a deemed liquidation event.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Classification of Series 1 Redeemable Convertible Preferred Stock</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deemed liquidation preference provisions of the Series 1 redeemable convertible preferred stock are considered contingent redemption provisions that are not solely within the Company’s control. Accordingly, the Series 1 redeemable convertible preferred stock has been presented outside of permanent equity in the mezzanine section of the consolidated balance sheet.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A–Series E Redeemable Convertible Preferred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1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Each share of Series A and Series A-1 redeemable convertible preferred stock is convertible, at the option of the holder, at any time, into shares of common stock determined by dividing $0.51 by the conversion price. Each share of Series B and Series B-1 redeemable convertible preferred stock is convertible, at the option of the holder, at any time, into shares of common stock determined by dividing $2.71 by the conversion price. Each share of Series C and Series C-1 redeemable convertible preferred stock is convertible, at the option of the holder, at any time, into shares of common stock determined by dividing $4.27 by the conversion price. Each share of Series D and Series D-1 redeemable convertible preferred stock is convertible, at the option of the holder, at any time, into shares of common stock determined by dividing $5.23 by the conversion price. Each share of Series E and Series E-1 redeemable convertible preferred stock is convertible, at the option of the holder, at any time, into shares of common stock determined by dividing $8.19 by the conversion price. The initial conversion price per share of the redeemable convertible preferred stock is the original issue price. The conversion price is subject to adjustments such as stock splits, common stock dividends, combinations, subdivisions, recapitalizations, or the like.</w:t>
      </w:r>
    </w:p>
    <w:p>
      <w:pPr>
        <w:spacing w:after="0" w:line="166"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Each share of Series A, Series B, Series C, Series D, and Series E redeemable convertible preferred stock and each share of Series A-1, Series B-1, Series C-1, Series D-1, and Series E-1 will automatically convert into one share of Class A common stock or Class B common stock, respectively, at the then effective conversion price for each such share immediately upon the earlier of (i) the Company’s sale of its common stock in a firm commitment of an underwritten initial public offering pursuant to a registration statement under the Securities Act of 1933, as amended, which results in aggregate gross proceeds to the Company of $100 million (net of underwriting discounts and commissions) or (ii) the date specified by the written consent or agreement of the holders of a majority of the then outstanding shares of Series A, Series B, Series C, Series D, and Series E redeemable convertible preferred stock, voting together as a single class.</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260" w:firstLine="449"/>
        <w:spacing w:after="0" w:line="257" w:lineRule="auto"/>
        <w:rPr>
          <w:sz w:val="20"/>
          <w:szCs w:val="20"/>
          <w:color w:val="auto"/>
        </w:rPr>
      </w:pPr>
      <w:r>
        <w:rPr>
          <w:rFonts w:ascii="Arial" w:cs="Arial" w:eastAsia="Arial" w:hAnsi="Arial"/>
          <w:sz w:val="18"/>
          <w:szCs w:val="18"/>
          <w:color w:val="auto"/>
        </w:rPr>
        <w:t>The holders of the outstanding shares of redeemable convertible preferred stock are entitled to receive, when and if declared by the Board of Directors, a noncumulative dividend at the annual rate of $0.04 per share for Series A and Series A-1, $0.22 per share for Series B and Series B-1, $0.34 per share for Series C and Series C-1, $0.42 per share for Series D and Series D-1, and $0.65 per share for Series E and Series E-1. Such dividends are payable in preference to any dividends for common stock or Series 1 redeemable convertible preferred stock declared by the Board of Directors. After payments of such dividends, any additional dividends shall be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459" w:right="3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distributed among holders of Series A–E redeemable convertible preferred stock, Series 1 redeemable convertible preferred stock, and common stock pro rata based on the number of shares held by each holder (assuming conversion of all such stock into common stock). No dividends have been declared as of January 31, 2019.</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1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Upon liquidation, dissolution, or winding up of the Company, the holders of the redeemable convertible preferred stock shall be entitled to receive, prior and in preference to any distribution of any of the assets or surplus funds of the Company to the holders of shares of common stock or Series 1 redeemable convertible preferred stock, an amount equal to $0.51 per share for Series A and Series A-1, $2.71 per share for Series B and Series B-1, $4.27 per share for Series C and Series C-1, $5.23 per share for Series D and Series D-1, and $8.19 per share for Series E and Series E-1, plus any declared but unpaid dividends on such shares (“liquidation preference”). After the payment of the liquidation preference, all remaining assets available for distribution, if any, shall be distributed ratably among the holders of the Series A—E redeemable convertible preferred stock, Series 1 redeemable convertible preferred stock, and common stock. If the assets of the Company are insufficient to permit payments of the full amounts described above, then the assets shall be distributed ratably among the holders of the redeemable convertible preferred stock in proportion to the full amounts they would otherwise be entitled to receive. After payment to the holders of redeemable convertible preferred stock of the full amounts they are entitled to receive, the entire remaining assets of the Company shall be distributed ratably among the holders of Series 1 redeemable convertible preferred stock and common stock.</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holders of each share of Series A, Series B, Series C or Series D redeemable convertible preferred stock have the right to one hundred</w:t>
      </w:r>
    </w:p>
    <w:p>
      <w:pPr>
        <w:spacing w:after="0" w:line="35" w:lineRule="exact"/>
        <w:rPr>
          <w:sz w:val="20"/>
          <w:szCs w:val="20"/>
          <w:color w:val="auto"/>
        </w:rPr>
      </w:pPr>
    </w:p>
    <w:p>
      <w:pPr>
        <w:ind w:firstLine="8"/>
        <w:spacing w:after="0" w:line="286" w:lineRule="auto"/>
        <w:tabs>
          <w:tab w:leader="none" w:pos="43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votes for each share of Class A common stock into which such Series A, Series B, Series C, Series D or Series E redeemable convertible preferred stock could then be converted. The holders of each share of Series A-1, Series B-1, Series C-1, Series D-1 or Series E-1 redeemable convertible preferred stock shall have the right to one (1) vote for each share of Class B common stock into which such Series could then be converted. Such holder has voting rights and powers equal to those of the holders of common stock. The holders of a majority of the outstanding shares of Series A redeemable convertible preferred stock, voting as a separate class, are entitled to elect one member of the Board of Directors. The holders of a majority of the voting power of the then outstanding shares of common stock, voting as a separate class, are entitled to elect one member of the Board of Directors. The holders of a majority of the voting power of the then outstanding shares of common stock and Series 1 redeemable convertible preferred stock, voting together as a single class, are entitled to elect two members to the Company’s Board of Directors. The holders of a majority of the voting power of the then outstanding shares of common stock, Series 1 redeemable convertible preferred stock, and Series A—E redeemable convertible preferred stock, voting together as a single class, are entitled to elect the remaining members to the Company’s Board of Directors.</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While Series A, Series B, Series C, Series D, and Series E redeemable convertible preferred stock do not have mandatory redemption provisions, they are contingently redeemable upon a deemed liquidation event.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Classification of Series A–E Redeemable Convertible Preferred Stock</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deemed liquidation preference provisions of the Series A, Series B, Series C, Series D, and Series E redeemable convertible preferred stock are considered contingent redemption provisions that are not solely within the Company’s control. Accordingly, the Series A, Series B, Series C, Series D, and Series E redeemable convertible preferred stock have been presented outside of permanent equity in the mezzanine section of the consolidated balance sheet.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60"/>
          </w:cols>
          <w:pgMar w:left="320" w:top="459" w:right="4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Series B Redeemable Convertible Preferred Stock Warrants</w:t>
      </w:r>
    </w:p>
    <w:p>
      <w:pPr>
        <w:spacing w:after="0" w:line="121"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In connection with the revision and extension of the Company’s corporate headquarters office lease agreement in November 2012, the Company issued fully exercisable redeemable convertible preferred stock warrants to purchase 36,928 shares of the Company’s Series B redeemable convertible preferred stock at a price of $2.71. The warrants are subject to expiration if not exercised before November 29, 2019, upon sale or merger of the Company, or the closing of a firm commitment underwritten public offering of the Company’s common stock pursuant to a registration statement under the U.S. Securities Act of 1933. The change in fair value of the redeemable convertible preferred stock warrant liability for the year ended January 31, 2019 was less than $0.1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Deficit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200" w:firstLine="449"/>
        <w:spacing w:after="0" w:line="275" w:lineRule="auto"/>
        <w:rPr>
          <w:sz w:val="20"/>
          <w:szCs w:val="20"/>
          <w:color w:val="auto"/>
        </w:rPr>
      </w:pPr>
      <w:r>
        <w:rPr>
          <w:rFonts w:ascii="Arial" w:cs="Arial" w:eastAsia="Arial" w:hAnsi="Arial"/>
          <w:sz w:val="17"/>
          <w:szCs w:val="17"/>
          <w:color w:val="auto"/>
        </w:rPr>
        <w:t>There are two classes of common stock that total 540,000,000 authorized shares: 270,000,000 authorized shares of Class A common stock and 270,000,000 authorized shares of Class B common stock. The rights of the holders of Class A common stock and Class B common stock are identical, except with respect to voting and conversion. Each share of Class A common stock is entitled to 100 votes per share and is convertible into one share of Class B common stock. Each share of Class B common stock is entitled to one vote per share. There are 61,434,870 shares of Class A common stock and 6,821,680 shares of Class B common stock issued and outstanding as of January 31, 2019.</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January 31, 2019, the Company had reserved the following shares of common stock for future issuance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As of</w:t>
            </w:r>
          </w:p>
        </w:tc>
      </w:tr>
      <w:tr>
        <w:trPr>
          <w:trHeight w:val="185"/>
        </w:trPr>
        <w:tc>
          <w:tcPr>
            <w:tcW w:w="9780" w:type="dxa"/>
            <w:vAlign w:val="bottom"/>
          </w:tcPr>
          <w:p>
            <w:pPr>
              <w:spacing w:after="0"/>
              <w:rPr>
                <w:sz w:val="16"/>
                <w:szCs w:val="16"/>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January 31, 2019</w:t>
            </w:r>
          </w:p>
        </w:tc>
      </w:tr>
      <w:tr>
        <w:trPr>
          <w:trHeight w:val="210"/>
        </w:trPr>
        <w:tc>
          <w:tcPr>
            <w:tcW w:w="9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Conversion of Series 1 redeemable convertible preferred stock</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Conversion of Series A redeemable convertible preferred stock</w:t>
            </w:r>
          </w:p>
        </w:tc>
        <w:tc>
          <w:tcPr>
            <w:tcW w:w="1460" w:type="dxa"/>
            <w:vAlign w:val="bottom"/>
          </w:tcPr>
          <w:p>
            <w:pPr>
              <w:jc w:val="right"/>
              <w:spacing w:after="0"/>
              <w:rPr>
                <w:sz w:val="20"/>
                <w:szCs w:val="20"/>
                <w:color w:val="auto"/>
              </w:rPr>
            </w:pPr>
            <w:r>
              <w:rPr>
                <w:rFonts w:ascii="Arial" w:cs="Arial" w:eastAsia="Arial" w:hAnsi="Arial"/>
                <w:sz w:val="18"/>
                <w:szCs w:val="18"/>
                <w:color w:val="auto"/>
              </w:rPr>
              <w:t>20,771</w:t>
            </w:r>
          </w:p>
        </w:tc>
        <w:tc>
          <w:tcPr>
            <w:tcW w:w="2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B redeemable convertible preferred stock</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10,447</w:t>
            </w:r>
          </w:p>
        </w:tc>
        <w:tc>
          <w:tcPr>
            <w:tcW w:w="20" w:type="dxa"/>
            <w:vAlign w:val="bottom"/>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Warrants to purchase Series B redeemable convertible preferred stock</w:t>
            </w: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C redeemable convertible preferred stock</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20" w:type="dxa"/>
            <w:vAlign w:val="bottom"/>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Conversion of Series D redeemable convertible preferred stock</w:t>
            </w:r>
          </w:p>
        </w:tc>
        <w:tc>
          <w:tcPr>
            <w:tcW w:w="1460" w:type="dxa"/>
            <w:vAlign w:val="bottom"/>
          </w:tcPr>
          <w:p>
            <w:pPr>
              <w:jc w:val="right"/>
              <w:spacing w:after="0"/>
              <w:rPr>
                <w:sz w:val="20"/>
                <w:szCs w:val="20"/>
                <w:color w:val="auto"/>
              </w:rPr>
            </w:pPr>
            <w:r>
              <w:rPr>
                <w:rFonts w:ascii="Arial" w:cs="Arial" w:eastAsia="Arial" w:hAnsi="Arial"/>
                <w:sz w:val="18"/>
                <w:szCs w:val="18"/>
                <w:color w:val="auto"/>
              </w:rPr>
              <w:t>14,353</w:t>
            </w:r>
          </w:p>
        </w:tc>
        <w:tc>
          <w:tcPr>
            <w:tcW w:w="2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E redeemable convertible preferred stock</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20" w:type="dxa"/>
            <w:vAlign w:val="bottom"/>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Common stock options issued and outstanding</w:t>
            </w:r>
          </w:p>
        </w:tc>
        <w:tc>
          <w:tcPr>
            <w:tcW w:w="1460" w:type="dxa"/>
            <w:vAlign w:val="bottom"/>
          </w:tcPr>
          <w:p>
            <w:pPr>
              <w:jc w:val="right"/>
              <w:spacing w:after="0"/>
              <w:rPr>
                <w:sz w:val="20"/>
                <w:szCs w:val="20"/>
                <w:color w:val="auto"/>
              </w:rPr>
            </w:pPr>
            <w:r>
              <w:rPr>
                <w:rFonts w:ascii="Arial" w:cs="Arial" w:eastAsia="Arial" w:hAnsi="Arial"/>
                <w:sz w:val="18"/>
                <w:szCs w:val="18"/>
                <w:color w:val="auto"/>
              </w:rPr>
              <w:t>33,878</w:t>
            </w:r>
          </w:p>
        </w:tc>
        <w:tc>
          <w:tcPr>
            <w:tcW w:w="20" w:type="dxa"/>
            <w:vAlign w:val="bottom"/>
          </w:tcPr>
          <w:p>
            <w:pPr>
              <w:spacing w:after="0"/>
              <w:rPr>
                <w:sz w:val="18"/>
                <w:szCs w:val="18"/>
                <w:color w:val="auto"/>
              </w:rPr>
            </w:pP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 available for future issuance</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20" w:type="dxa"/>
            <w:vAlign w:val="bottom"/>
          </w:tcPr>
          <w:p>
            <w:pPr>
              <w:spacing w:after="0"/>
              <w:rPr>
                <w:sz w:val="18"/>
                <w:szCs w:val="18"/>
                <w:color w:val="auto"/>
              </w:rPr>
            </w:pPr>
          </w:p>
        </w:tc>
      </w:tr>
      <w:tr>
        <w:trPr>
          <w:trHeight w:val="223"/>
        </w:trPr>
        <w:tc>
          <w:tcPr>
            <w:tcW w:w="978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110,210</w:t>
            </w:r>
          </w:p>
        </w:tc>
        <w:tc>
          <w:tcPr>
            <w:tcW w:w="20" w:type="dxa"/>
            <w:vAlign w:val="bottom"/>
            <w:tcBorders>
              <w:bottom w:val="single" w:sz="8" w:color="auto"/>
            </w:tcBorders>
          </w:tcPr>
          <w:p>
            <w:pPr>
              <w:spacing w:after="0"/>
              <w:rPr>
                <w:sz w:val="19"/>
                <w:szCs w:val="19"/>
                <w:color w:val="auto"/>
              </w:rPr>
            </w:pPr>
          </w:p>
        </w:tc>
      </w:tr>
      <w:tr>
        <w:trPr>
          <w:trHeight w:val="20"/>
        </w:trPr>
        <w:tc>
          <w:tcPr>
            <w:tcW w:w="97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The Company has a 2009 Stock Plan (the “2009 Plan”) and a 2012 Stock Plan (the “2012 Plan”). Both plans were initially established to grant stock options to employees and consultants of the Company to assist in attracting, retaining, and motivating employees and consultants and to provide incentives to promote the success of the Company’s business.</w:t>
      </w:r>
    </w:p>
    <w:p>
      <w:pPr>
        <w:spacing w:after="0" w:line="184"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Options granted under both plans may be either incentive stock options (“ISOs”) or nonqualified stock options (“NSOs”). ISOs may be granted only to Company employees (including officers and directors who are also employees). NSOs may be granted to Company employees and consultants. Restricted stock may also be granted under the 2012 Plan. Options under the 2012 Plan may be granted for periods of up to 10 years. The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459" w:right="3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exercise price of an ISO and NSO shall not be less than 100% of the estimated fair value of the shares on the date of grant as determined by the Board of Directors. Options granted generally vest over four years and vest at a rate of 25% upon the first anniversary of the issuance date and 1/48 per month thereafter.</w:t>
      </w:r>
    </w:p>
    <w:p>
      <w:pPr>
        <w:spacing w:after="0" w:line="184"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Shares of common stock purchased under both plans are subject to certain restrictions and repurchase rights, including the right of first refusal by the Company for sale or transfer of shares to outside parties.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under the Company’s combined stock plans are set forth below (in thousands, except years and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4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3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Price Per</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Share</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February 1, 2018</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Options canceled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10,603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Options exercised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(4,607)</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0.93</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6,113</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January 31, 2019</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33,878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74,127</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Vested and exercisable at January 31, 2019</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1.03</w:t>
            </w: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5.9</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46,153</w:t>
            </w:r>
          </w:p>
        </w:tc>
        <w:tc>
          <w:tcPr>
            <w:tcW w:w="0" w:type="dxa"/>
            <w:vAlign w:val="bottom"/>
          </w:tcPr>
          <w:p>
            <w:pPr>
              <w:spacing w:after="0" w:line="20" w:lineRule="exact"/>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17,271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January 31, 2019</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34,659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75,749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weighted-average grant-date fair value of options granted during the year ended January 31, 2019 was $1.23 per share.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Early Exercise of Employee Options</w:t>
      </w:r>
    </w:p>
    <w:p>
      <w:pPr>
        <w:spacing w:after="0" w:line="117"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The 2009 Plan and 2012 Plan allow for the early exercise of stock options. The consideration received for an early exercise of an option is considered to be a deposit of the exercise price, and the related dollar amount is recorded as a liability and reflected in accrued expenses and other current liabilities and other liabilities in the consolidated balance sheet. This liability is reclassified to additional paid-in capital as the awards vest. If a stock option is early exercised, the unvested shares may be repurchased by the Company in case of employment termination at the price paid by the purchaser for such shares. As of January 31, 2019, shares that were subject to repurchase totaled 781,386 shares.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Determination of Fair Values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assumptions used in the Black-Scholes pricing model for stock-based compensation for the year ended January 31, 2019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3520" w:type="dxa"/>
            <w:vAlign w:val="bottom"/>
            <w:tcBorders>
              <w:bottom w:val="single" w:sz="8" w:color="CCEEFF"/>
            </w:tcBorders>
          </w:tcPr>
          <w:p>
            <w:pPr>
              <w:spacing w:after="0"/>
              <w:rPr>
                <w:sz w:val="14"/>
                <w:szCs w:val="14"/>
                <w:color w:val="auto"/>
              </w:rPr>
            </w:pPr>
          </w:p>
        </w:tc>
        <w:tc>
          <w:tcPr>
            <w:tcW w:w="63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January 31, 2019</w:t>
            </w:r>
          </w:p>
        </w:tc>
        <w:tc>
          <w:tcPr>
            <w:tcW w:w="220" w:type="dxa"/>
            <w:vAlign w:val="bottom"/>
            <w:tcBorders>
              <w:bottom w:val="single" w:sz="8" w:color="CCEEFF"/>
            </w:tcBorders>
          </w:tcPr>
          <w:p>
            <w:pPr>
              <w:spacing w:after="0"/>
              <w:rPr>
                <w:sz w:val="14"/>
                <w:szCs w:val="14"/>
                <w:color w:val="auto"/>
              </w:rPr>
            </w:pPr>
          </w:p>
        </w:tc>
      </w:tr>
      <w:tr>
        <w:trPr>
          <w:trHeight w:val="209"/>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 - 3.1%</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Expected term</w:t>
            </w:r>
          </w:p>
        </w:tc>
        <w:tc>
          <w:tcPr>
            <w:tcW w:w="63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 years</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Expected volatility</w:t>
            </w:r>
          </w:p>
        </w:tc>
        <w:tc>
          <w:tcPr>
            <w:tcW w:w="7720" w:type="dxa"/>
            <w:vAlign w:val="bottom"/>
            <w:gridSpan w:val="3"/>
          </w:tcPr>
          <w:p>
            <w:pPr>
              <w:jc w:val="right"/>
              <w:ind w:right="60"/>
              <w:spacing w:after="0"/>
              <w:rPr>
                <w:sz w:val="20"/>
                <w:szCs w:val="20"/>
                <w:color w:val="auto"/>
              </w:rPr>
            </w:pPr>
            <w:r>
              <w:rPr>
                <w:rFonts w:ascii="Arial" w:cs="Arial" w:eastAsia="Arial" w:hAnsi="Arial"/>
                <w:sz w:val="18"/>
                <w:szCs w:val="18"/>
                <w:color w:val="auto"/>
              </w:rPr>
              <w:t>41.6% - 46.6%</w:t>
            </w:r>
          </w:p>
        </w:tc>
      </w:tr>
      <w:tr>
        <w:trPr>
          <w:trHeight w:val="350"/>
        </w:trPr>
        <w:tc>
          <w:tcPr>
            <w:tcW w:w="3520" w:type="dxa"/>
            <w:vAlign w:val="bottom"/>
          </w:tcPr>
          <w:p>
            <w:pPr>
              <w:spacing w:after="0"/>
              <w:rPr>
                <w:sz w:val="24"/>
                <w:szCs w:val="24"/>
                <w:color w:val="auto"/>
              </w:rPr>
            </w:pPr>
          </w:p>
        </w:tc>
        <w:tc>
          <w:tcPr>
            <w:tcW w:w="7720" w:type="dxa"/>
            <w:vAlign w:val="bottom"/>
            <w:gridSpan w:val="3"/>
          </w:tcPr>
          <w:p>
            <w:pPr>
              <w:jc w:val="right"/>
              <w:ind w:right="5440"/>
              <w:spacing w:after="0"/>
              <w:rPr>
                <w:sz w:val="20"/>
                <w:szCs w:val="20"/>
                <w:color w:val="auto"/>
              </w:rPr>
            </w:pPr>
            <w:r>
              <w:rPr>
                <w:rFonts w:ascii="Arial" w:cs="Arial" w:eastAsia="Arial" w:hAnsi="Arial"/>
                <w:sz w:val="18"/>
                <w:szCs w:val="18"/>
                <w:color w:val="auto"/>
              </w:rPr>
              <w:t>F-25</w:t>
            </w:r>
          </w:p>
        </w:tc>
      </w:tr>
    </w:tbl>
    <w:p>
      <w:pPr>
        <w:sectPr>
          <w:pgSz w:w="11900" w:h="16838" w:orient="portrait"/>
          <w:cols w:equalWidth="0" w:num="1">
            <w:col w:w="11240"/>
          </w:cols>
          <w:pgMar w:left="320" w:top="459"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Stock-based compensation for stock-based awards to employees and non-employees in the Company’s consolidated statement of operations for the year ended January 31, 2019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66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January 31, 2019</w:t>
            </w: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5,160</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2,108</w:t>
            </w: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60" w:type="dxa"/>
            <w:vAlign w:val="bottom"/>
          </w:tcPr>
          <w:p>
            <w:pPr>
              <w:spacing w:after="0"/>
              <w:rPr>
                <w:sz w:val="19"/>
                <w:szCs w:val="19"/>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8,547</w:t>
            </w:r>
          </w:p>
        </w:tc>
      </w:tr>
      <w:tr>
        <w:trPr>
          <w:trHeight w:val="20"/>
        </w:trPr>
        <w:tc>
          <w:tcPr>
            <w:tcW w:w="66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stock-based compensation expense related to options granted to non-employees for the year ended January 31, 2019 was not material.</w:t>
      </w:r>
    </w:p>
    <w:p>
      <w:pPr>
        <w:spacing w:after="0" w:line="23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As of January 31, 2019, there were total unrecognized compensation costs of $17.1 million, which are expected to be recognized over a weighted-average period of 3.6 years.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Tender Offer</w:t>
      </w:r>
    </w:p>
    <w:p>
      <w:pPr>
        <w:spacing w:after="0" w:line="117"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In April 2018, the Company’s board of directors approved a plan for a private trust, whose sole trustee and grantor is the Company’s founder and CEO, to purchase shares of the Company’s Class A and Class B common stock from certain current and former employees of the Company. The tender offer closed in May 2018, at which time the Company recorded $3.8 million as compensation expense related to the excess of the selling price per share of common stock paid to the Company’s employees and former employees over the fair value of the tendered shares. This amount is included in the total stock-based compensation expense shown in the table above. A total of 1,500,814 shares were tendered in the offer for an aggregate purchase price of $7.1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Benefit Plans</w:t>
      </w:r>
    </w:p>
    <w:p>
      <w:pPr>
        <w:spacing w:after="0" w:line="121"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In January 2011, the Company adopted a defined contribution retirement savings plan under Section 401(k) of the Internal Revenue Code. This plan covers all employees within the United States who meet minimum age and service requirements and allows participants to defer a portion of their annual compensation on a pre-tax basis. The Company’s contributions to the plan may be made at the discretion of the Board of Directors. There have been no contributions to the plan by the Company since the inception of the plan. Additionally, the Company engages in required pension plans of respective countries in which operations exist.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provision for income taxes for the year ended January 31, 2019 were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40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January 31, 2019</w:t>
            </w: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5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Foreign</w:t>
            </w:r>
          </w:p>
        </w:tc>
        <w:tc>
          <w:tcPr>
            <w:tcW w:w="56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provision for income taxes</w:t>
            </w:r>
          </w:p>
        </w:tc>
        <w:tc>
          <w:tcPr>
            <w:tcW w:w="5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5820" w:type="dxa"/>
            <w:vAlign w:val="bottom"/>
            <w:gridSpan w:val="2"/>
          </w:tcPr>
          <w:p>
            <w:pPr>
              <w:jc w:val="right"/>
              <w:ind w:right="4010"/>
              <w:spacing w:after="0"/>
              <w:rPr>
                <w:sz w:val="20"/>
                <w:szCs w:val="20"/>
                <w:color w:val="auto"/>
              </w:rPr>
            </w:pPr>
            <w:r>
              <w:rPr>
                <w:rFonts w:ascii="Arial" w:cs="Arial" w:eastAsia="Arial" w:hAnsi="Arial"/>
                <w:sz w:val="18"/>
                <w:szCs w:val="18"/>
                <w:color w:val="auto"/>
              </w:rPr>
              <w:t>F-26</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loss before income taxes for the year ended January 31, 2019 were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53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January 31, 2019</w:t>
            </w: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4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(51,102)</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Foreign</w:t>
            </w:r>
          </w:p>
        </w:tc>
        <w:tc>
          <w:tcPr>
            <w:tcW w:w="4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(50,900)</w:t>
            </w:r>
          </w:p>
        </w:tc>
      </w:tr>
      <w:tr>
        <w:trPr>
          <w:trHeight w:val="20"/>
        </w:trPr>
        <w:tc>
          <w:tcPr>
            <w:tcW w:w="53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reconciliation between the statutory federal income tax and the Company’s effective tax rates as a percentage of loss before income taxes for year ended January 31, 2019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9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January 31, 2019</w:t>
            </w:r>
          </w:p>
        </w:tc>
        <w:tc>
          <w:tcPr>
            <w:tcW w:w="220" w:type="dxa"/>
            <w:vAlign w:val="bottom"/>
            <w:tcBorders>
              <w:bottom w:val="single" w:sz="8" w:color="CCEEFF"/>
            </w:tcBorders>
            <w:gridSpan w:val="3"/>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Federal tax rate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6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7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460"/>
              <w:spacing w:after="0"/>
              <w:rPr>
                <w:sz w:val="20"/>
                <w:szCs w:val="20"/>
                <w:color w:val="auto"/>
              </w:rPr>
            </w:pPr>
            <w:r>
              <w:rPr>
                <w:rFonts w:ascii="Arial" w:cs="Arial" w:eastAsia="Arial" w:hAnsi="Arial"/>
                <w:sz w:val="18"/>
                <w:szCs w:val="18"/>
                <w:color w:val="auto"/>
              </w:rPr>
              <w:t>The major components of deferred tax assets as of January 31, 2019 are as follows (in thousands):</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9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January 31, 2019</w:t>
            </w:r>
          </w:p>
        </w:tc>
        <w:tc>
          <w:tcPr>
            <w:tcW w:w="0" w:type="dxa"/>
            <w:vAlign w:val="bottom"/>
          </w:tcPr>
          <w:p>
            <w:pPr>
              <w:spacing w:after="0"/>
              <w:rPr>
                <w:sz w:val="1"/>
                <w:szCs w:val="1"/>
                <w:color w:val="auto"/>
              </w:rPr>
            </w:pPr>
          </w:p>
        </w:tc>
      </w:tr>
      <w:tr>
        <w:trPr>
          <w:trHeight w:val="210"/>
        </w:trPr>
        <w:tc>
          <w:tcPr>
            <w:tcW w:w="9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45,503</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Research and development tax credits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9,170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Reserves and accrued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3"/>
        </w:trPr>
        <w:tc>
          <w:tcPr>
            <w:tcW w:w="9760" w:type="dxa"/>
            <w:vAlign w:val="bottom"/>
          </w:tcPr>
          <w:p>
            <w:pPr>
              <w:ind w:left="360"/>
              <w:spacing w:after="0"/>
              <w:rPr>
                <w:sz w:val="20"/>
                <w:szCs w:val="20"/>
                <w:color w:val="auto"/>
              </w:rPr>
            </w:pPr>
            <w:r>
              <w:rPr>
                <w:rFonts w:ascii="Arial" w:cs="Arial" w:eastAsia="Arial" w:hAnsi="Arial"/>
                <w:sz w:val="18"/>
                <w:szCs w:val="18"/>
                <w:color w:val="auto"/>
              </w:rPr>
              <w:t>Gross deferred tax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57,155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(57,155)</w:t>
            </w:r>
          </w:p>
        </w:tc>
        <w:tc>
          <w:tcPr>
            <w:tcW w:w="0" w:type="dxa"/>
            <w:vAlign w:val="bottom"/>
          </w:tcPr>
          <w:p>
            <w:pPr>
              <w:spacing w:after="0"/>
              <w:rPr>
                <w:sz w:val="1"/>
                <w:szCs w:val="1"/>
                <w:color w:val="auto"/>
              </w:rPr>
            </w:pPr>
          </w:p>
        </w:tc>
      </w:tr>
      <w:tr>
        <w:trPr>
          <w:trHeight w:val="223"/>
        </w:trPr>
        <w:tc>
          <w:tcPr>
            <w:tcW w:w="976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During the year ended January 31, 2019, the valuation allowance increased by $13.7 million. The increase in the valuation allowance during the year ended January 31, 2019 was primarily driven by losses generated in the United States. As of January 31, 2019, the Company believes it is not more likely than not that the deferred tax assets will be fully realizable and continues to maintain a full valuation allowance against its deferred tax assets.</w:t>
      </w:r>
    </w:p>
    <w:p>
      <w:pPr>
        <w:spacing w:after="0" w:line="149"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As of January 31, 2019, the Company had federal net operating loss carryforwards of $187.7 million. As of January 31, 2019, the Company’s state net operating loss carryforwards were $88.8 million. The federal and state net operating losses, if not used, will begin to expire in 2029. Federal net operating losses generated after January 31, 2018 will carry forward indefinitely.</w:t>
      </w:r>
    </w:p>
    <w:p>
      <w:pPr>
        <w:spacing w:after="0" w:line="184" w:lineRule="exact"/>
        <w:rPr>
          <w:sz w:val="20"/>
          <w:szCs w:val="20"/>
          <w:color w:val="auto"/>
        </w:rPr>
      </w:pPr>
    </w:p>
    <w:p>
      <w:pPr>
        <w:jc w:val="both"/>
        <w:ind w:right="180" w:firstLine="449"/>
        <w:spacing w:after="0" w:line="263" w:lineRule="auto"/>
        <w:rPr>
          <w:sz w:val="20"/>
          <w:szCs w:val="20"/>
          <w:color w:val="auto"/>
        </w:rPr>
      </w:pPr>
      <w:r>
        <w:rPr>
          <w:rFonts w:ascii="Arial" w:cs="Arial" w:eastAsia="Arial" w:hAnsi="Arial"/>
          <w:sz w:val="18"/>
          <w:szCs w:val="18"/>
          <w:color w:val="auto"/>
        </w:rPr>
        <w:t>The Company has federal and California research and development tax credit carryforwards of $7.2 million and $5.9 million, respectively, to offset future taxable income. The federal research and development tax credits, if not used, will begin to expire in 2030, while the state tax credit carryforwards may be carried forward indefinitely.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459"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The Tax Reform Act of 1986 limits the use of net operating loss and tax credit carryforwards in certain situations where changes occur in the stock ownership of a company. In the event it is determined that the Company has had a change in ownership, the utilization of the carryforwards could be restricted.</w:t>
      </w:r>
    </w:p>
    <w:p>
      <w:pPr>
        <w:spacing w:after="0" w:line="184"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Foreign withholding taxes have not been provided for the cumulative undistributed earnings of the Company’s foreign subsidiaries as of January 31, 2019. The Company’s present intention is that such undistributed earnings be permanently reinvested.</w:t>
      </w:r>
    </w:p>
    <w:p>
      <w:pPr>
        <w:spacing w:after="0" w:line="170"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In December 2017, the Securities and Exchange Commission staff issued Staff Accounting Bulletin No. 118, which addresses how a company recognizes provisional amounts when a company does not have the necessary information available, prepared, or analyzed (including computations) in reasonable detail to complete its accounting for the effect of the changes in the Tax Cuts and Jobs Act. The measurement period ends when a company has obtained, prepared, and analyzed the information necessary to finalize its accounting, but cannot extend beyond one year. As of January 31, 2019, the Company has completed its analysis, and there were no adjustments from the original amounts accounted for during the year ended January 31, 2018.</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amounts of gross unrecognized tax benefits was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9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January 31, 2019</w:t>
            </w:r>
          </w:p>
        </w:tc>
      </w:tr>
      <w:tr>
        <w:trPr>
          <w:trHeight w:val="210"/>
        </w:trPr>
        <w:tc>
          <w:tcPr>
            <w:tcW w:w="9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Increases—current period tax positions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884</w:t>
            </w:r>
          </w:p>
        </w:tc>
        <w:tc>
          <w:tcPr>
            <w:tcW w:w="40" w:type="dxa"/>
            <w:vAlign w:val="bottom"/>
          </w:tcPr>
          <w:p>
            <w:pPr>
              <w:spacing w:after="0"/>
              <w:rPr>
                <w:sz w:val="18"/>
                <w:szCs w:val="18"/>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Increases—prior period tax positions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40" w:type="dxa"/>
            <w:vAlign w:val="bottom"/>
            <w:shd w:val="clear" w:color="auto" w:fill="CCEEFF"/>
          </w:tcPr>
          <w:p>
            <w:pPr>
              <w:spacing w:after="0"/>
              <w:rPr>
                <w:sz w:val="18"/>
                <w:szCs w:val="18"/>
                <w:color w:val="auto"/>
              </w:rPr>
            </w:pPr>
          </w:p>
        </w:tc>
      </w:tr>
      <w:tr>
        <w:trPr>
          <w:trHeight w:val="223"/>
        </w:trPr>
        <w:tc>
          <w:tcPr>
            <w:tcW w:w="998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449"/>
        <w:spacing w:after="0" w:line="308" w:lineRule="auto"/>
        <w:rPr>
          <w:sz w:val="20"/>
          <w:szCs w:val="20"/>
          <w:color w:val="auto"/>
        </w:rPr>
      </w:pPr>
      <w:r>
        <w:rPr>
          <w:rFonts w:ascii="Arial" w:cs="Arial" w:eastAsia="Arial" w:hAnsi="Arial"/>
          <w:sz w:val="17"/>
          <w:szCs w:val="17"/>
          <w:color w:val="auto"/>
        </w:rPr>
        <w:t>The Company’s policy is to include interest and penalties related to unrecognized tax benefits within the Company’s benefit from (provision for) income taxes. As of January 31, 2019, the Company has not accrued for interest and penalties related to the unrecognized tax benefits.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January 31, 2019, there are no unrecognized tax benefits that if recognized, that would affect the Company’s effective tax rate.</w:t>
      </w:r>
    </w:p>
    <w:p>
      <w:pPr>
        <w:spacing w:after="0" w:line="225"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Company files federal and state tax returns in the United States and in Ireland. The Company’s tax years since inception are open to examination by federal and state taxing authorities, and the tax years 2014 through 2017 remain open in Ireland.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Geographic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set forth revenues and long-lived assets by geographic area for the year ended January 31, 2019 (in thousands):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53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January 31, 2019</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46,221</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International</w:t>
            </w:r>
          </w:p>
        </w:tc>
        <w:tc>
          <w:tcPr>
            <w:tcW w:w="4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30,549</w:t>
            </w:r>
          </w:p>
        </w:tc>
        <w:tc>
          <w:tcPr>
            <w:tcW w:w="60" w:type="dxa"/>
            <w:vAlign w:val="bottom"/>
          </w:tcPr>
          <w:p>
            <w:pPr>
              <w:spacing w:after="0"/>
              <w:rPr>
                <w:sz w:val="19"/>
                <w:szCs w:val="19"/>
                <w:color w:val="auto"/>
              </w:rPr>
            </w:pPr>
          </w:p>
        </w:tc>
      </w:tr>
      <w:tr>
        <w:trPr>
          <w:trHeight w:val="216"/>
        </w:trPr>
        <w:tc>
          <w:tcPr>
            <w:tcW w:w="538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76,770</w:t>
            </w:r>
          </w:p>
        </w:tc>
      </w:tr>
      <w:tr>
        <w:trPr>
          <w:trHeight w:val="20"/>
        </w:trPr>
        <w:tc>
          <w:tcPr>
            <w:tcW w:w="53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by geography are based on the billing address of the customer.</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459" w:right="3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r>
      <w:tr>
        <w:trPr>
          <w:trHeight w:val="171"/>
        </w:trPr>
        <w:tc>
          <w:tcPr>
            <w:tcW w:w="54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January 31, 2019</w:t>
            </w:r>
          </w:p>
        </w:tc>
      </w:tr>
      <w:tr>
        <w:trPr>
          <w:trHeight w:val="209"/>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International</w:t>
            </w:r>
          </w:p>
        </w:tc>
        <w:tc>
          <w:tcPr>
            <w:tcW w:w="4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r>
      <w:tr>
        <w:trPr>
          <w:trHeight w:val="216"/>
        </w:trPr>
        <w:tc>
          <w:tcPr>
            <w:tcW w:w="548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4,099</w:t>
            </w:r>
          </w:p>
        </w:tc>
      </w:tr>
      <w:tr>
        <w:trPr>
          <w:trHeight w:val="20"/>
        </w:trPr>
        <w:tc>
          <w:tcPr>
            <w:tcW w:w="54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12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The Company has a recurring subscription agreement with a company affiliated with a Board member of the Company. The total contract value was $0.3 million for the year ended January 31, 2019. The Company recognized revenues of $0.2 million under this subscription agreement during the year ended January 31,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Subsequent events have been evaluated through January 31, 2020, which is the date the consolidated financial statements were available for issuance.</w:t>
      </w:r>
    </w:p>
    <w:p>
      <w:pPr>
        <w:spacing w:after="0" w:line="248"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In February 2019, the Company amended its 2012 Stock Plan to increase the number of shares reserved for issuance under the 2012 Plan from 41,099,254 to 52,299,254 shares. Additionally in September 2019, the Company amended the 2012 Plan to allow for the issuance of restricted stock units (“RSUs”).</w:t>
      </w:r>
    </w:p>
    <w:p>
      <w:pPr>
        <w:spacing w:after="0" w:line="184"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In February 2019, the Company entered into a new lease agreement for approximately 265,890 square feet of office space in San Francisco, California, to serve as its new corporate headquarters. As part of the agreement, the Company is required to issue a $17.0 million letter of credit upon access to the office space in April 2020. The Company expects to start making recurring rental payments under the lease in the third quarter of fiscal 2021. The lease expiration date is October 2033. The Company’s Chief Executive Officer acts as a personal guarantor to the lease for the full rent payments over the 148-month term should the Company default on its obligations. Future minimum payments and capital commitments for the lease, including the tenant improvement allowances of $26.6 million, total $466.0 million.</w:t>
      </w:r>
    </w:p>
    <w:p>
      <w:pPr>
        <w:spacing w:after="0" w:line="178" w:lineRule="exact"/>
        <w:rPr>
          <w:sz w:val="20"/>
          <w:szCs w:val="20"/>
          <w:color w:val="auto"/>
        </w:rPr>
      </w:pPr>
    </w:p>
    <w:p>
      <w:pPr>
        <w:ind w:right="420" w:firstLine="449"/>
        <w:spacing w:after="0" w:line="263" w:lineRule="auto"/>
        <w:rPr>
          <w:sz w:val="20"/>
          <w:szCs w:val="20"/>
          <w:color w:val="auto"/>
        </w:rPr>
      </w:pPr>
      <w:r>
        <w:rPr>
          <w:rFonts w:ascii="Arial" w:cs="Arial" w:eastAsia="Arial" w:hAnsi="Arial"/>
          <w:sz w:val="18"/>
          <w:szCs w:val="18"/>
          <w:color w:val="auto"/>
        </w:rPr>
        <w:t>In May 2019, the Company amended its convertible note agreement with the entity affiliated with its CEO by increasing the available aggregate principal amount of up to $75 million to $125 million. Subsequently, in connection with the 2020 Note described below, this note agreement was terminated.</w:t>
      </w:r>
    </w:p>
    <w:p>
      <w:pPr>
        <w:spacing w:after="0" w:line="184" w:lineRule="exact"/>
        <w:rPr>
          <w:sz w:val="20"/>
          <w:szCs w:val="20"/>
          <w:color w:val="auto"/>
        </w:rPr>
      </w:pPr>
    </w:p>
    <w:p>
      <w:pPr>
        <w:jc w:val="both"/>
        <w:ind w:right="300" w:firstLine="449"/>
        <w:spacing w:after="0" w:line="301" w:lineRule="auto"/>
        <w:rPr>
          <w:sz w:val="20"/>
          <w:szCs w:val="20"/>
          <w:color w:val="auto"/>
        </w:rPr>
      </w:pPr>
      <w:r>
        <w:rPr>
          <w:rFonts w:ascii="Arial" w:cs="Arial" w:eastAsia="Arial" w:hAnsi="Arial"/>
          <w:sz w:val="16"/>
          <w:szCs w:val="16"/>
          <w:color w:val="auto"/>
        </w:rPr>
        <w:t>In October 2019, certain of the Company’s stockholders conducted a tender offer for shares of the Company’s outstanding Class A common stock and Class B common stock and purchased an aggregate of 4,647,127 shares of the Company’s outstanding Class A common stock and Class B common stock from certain other stockholders at a purchase price of $15.82 per share, for an aggregate purchase price of $73.5 million, resulting in stock-based compensation expense of $38.7 million for the excess of the selling price per share over the fair value of the tendered shares.</w:t>
      </w:r>
    </w:p>
    <w:p>
      <w:pPr>
        <w:spacing w:after="0" w:line="157"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In January 2020, the Company issued to an entity affiliated with the Company’s CEO an unsecured senior mandatory convertible promissory note in the aggregate principal amount of $300.0 million, or the 2020 Note. The 2020 Note accrues interest at a rate of 3.5% per annum, which will compound annually and (other than in connection with our bankruptcy, insolvency, or other similar events) will mandatorily convert into shares of the Company’s Class B common stock. The 2020 Note matures on January 30, 2025, and on that date, depending on the trading price of the Class A common stock, the Company will issue between 11,282,390 and 18,051,810 shares of Class B common stock upon mandatory conversion of the 2020 Note, subject to customary anti-dilution and other adjustments. However, the Company may convert the 2020 Note in advance of the maturity date, at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Company’s option, and issue the lesser number of shares described above prior to the maturity date if the trading price of Class A common stock exceeds $31.58 per share (subject to customary anti-dilution and other adjustments in connection with certain extraordinary transactions) for 20 or more trading days in the 30 consecutive trading day period ending on the last trading day of the immediately preceding calendar quarter. The 2020 Note is not transferable except to affiliates, contains no financial or restrictive covenants, and is expressly subordinated in right of payment to any of the Company’s existing or future secured indebtedness. Additionally, the 2020 Note contains limited events of default, including bankruptcy or insolvency, upon which the principal amount outstanding under the 2020 Note, together with all accrued unpaid interest, become immediately due and payable. As of the date of the issuance of these consolidated financial statements, $300.0 million was outstanding under this agreement.</w:t>
      </w:r>
    </w:p>
    <w:p>
      <w:pPr>
        <w:spacing w:after="0" w:line="17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Subsequent to January 31, 2019, the Company granted options for 11,079,546 shares of common stock with exercise prices ranging from $3.70 to $8.08 per share to employees, non-employees, and directors, and 90,936 shares underlying RSUs, which generally vest over four years subject to continued service.</w:t>
      </w:r>
    </w:p>
    <w:p>
      <w:pPr>
        <w:spacing w:after="0" w:line="184"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Additionally, subsequent to January 31, 2019, the Company entered into several other lease agreements with commitments totaling approximately $13.0 million through fiscal 2024.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Events Subsequent to Original Issuance of Consolidated Financial Statements (unaudited)</w:t>
      </w:r>
    </w:p>
    <w:p>
      <w:pPr>
        <w:spacing w:after="0" w:line="121"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In March 2020, the Company entered into an agreement with a construction company related to the build-out of the Company’s new corporate headquarters. The contract value of this agreement was $57.7 million.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00"/>
          </w:cols>
          <w:pgMar w:left="320" w:top="459" w:right="379" w:bottom="1440" w:gutter="0" w:footer="0" w:header="0"/>
        </w:sectPr>
      </w:pPr>
    </w:p>
    <w:bookmarkStart w:id="166" w:name="page167"/>
    <w:bookmarkEnd w:id="1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3392170</wp:posOffset>
            </wp:positionV>
            <wp:extent cx="4123055" cy="8229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123055" cy="82296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120" w:firstLine="449"/>
        <w:spacing w:after="0" w:line="342" w:lineRule="auto"/>
        <w:rPr>
          <w:sz w:val="20"/>
          <w:szCs w:val="20"/>
          <w:color w:val="auto"/>
        </w:rPr>
      </w:pPr>
      <w:r>
        <w:rPr>
          <w:rFonts w:ascii="Arial" w:cs="Arial" w:eastAsia="Arial" w:hAnsi="Arial"/>
          <w:sz w:val="16"/>
          <w:szCs w:val="16"/>
          <w:color w:val="auto"/>
        </w:rPr>
        <w:t>The following table sets forth the costs and expenses to be paid by the Registrant in connection with this registration statement and the listing of our Class A common stock. All amounts are estimates except for the Securities and Exchange Commission, or the SEC, registration fee and the listing fee.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0320" w:type="dxa"/>
            <w:vAlign w:val="bottom"/>
          </w:tcPr>
          <w:p>
            <w:pPr>
              <w:ind w:left="600"/>
              <w:spacing w:after="0"/>
              <w:rPr>
                <w:sz w:val="20"/>
                <w:szCs w:val="20"/>
                <w:color w:val="auto"/>
              </w:rPr>
            </w:pPr>
            <w:r>
              <w:rPr>
                <w:rFonts w:ascii="Arial" w:cs="Arial" w:eastAsia="Arial" w:hAnsi="Arial"/>
                <w:sz w:val="18"/>
                <w:szCs w:val="18"/>
                <w:color w:val="auto"/>
              </w:rPr>
              <w:t>listing fee</w:t>
            </w:r>
          </w:p>
        </w:tc>
        <w:tc>
          <w:tcPr>
            <w:tcW w:w="46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46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Custodian, transfer agent, and registrar fees</w:t>
            </w:r>
          </w:p>
        </w:tc>
        <w:tc>
          <w:tcPr>
            <w:tcW w:w="46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Other advisors’ fees</w:t>
            </w: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1032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4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0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To be provided by amendment.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following the effectiveness of this registration statement, permits indemnification of our directors, officers, employees and other agents to the maximum extent permitted by the Delaware General Corporation Law, and our amended and restated bylaws that will be in effect following the effectiveness of this registration statement provide that we will indemnify our directors and officers and permit us to indemnify our employees and other agents, in each case to the maximum extent permitted by the Delaware General Corporation Law.</w:t>
      </w:r>
    </w:p>
    <w:p>
      <w:pPr>
        <w:spacing w:after="0" w:line="195"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Asana, Inc., provided that such director or officer acted in good faith and in a manner that the director or officer reasonably believed to be in, or not opposed to, the best interest of Asana, Inc. At present, there is no pending litigation or proceeding involving a director or officer of Asana, Inc. regarding which indemnification is sought, nor is the registrant aware of any threatened litigation that may result in claims for indemnification.</w:t>
      </w:r>
    </w:p>
    <w:p>
      <w:pPr>
        <w:spacing w:after="0" w:line="178"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February 1, 2017, the Registrant has issued and sold the following unregistered securities:</w:t>
      </w:r>
    </w:p>
    <w:p>
      <w:pPr>
        <w:spacing w:after="0" w:line="131" w:lineRule="exact"/>
        <w:rPr>
          <w:sz w:val="20"/>
          <w:szCs w:val="20"/>
          <w:color w:val="auto"/>
        </w:rPr>
      </w:pPr>
    </w:p>
    <w:p>
      <w:pPr>
        <w:ind w:left="1000" w:right="380" w:hanging="357"/>
        <w:spacing w:after="0" w:line="277"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Options to employees, directors, and consultants to purchase an aggregate of 30,114,469 shares of common stock under its Amended and Restated 2012 Stock Plan, or the 2012 Plan, with per share exercise prices ranging from $1.60 to $13.04.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459" w:right="3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357"/>
        <w:spacing w:after="0"/>
        <w:tabs>
          <w:tab w:leader="none" w:pos="10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An aggregate of 2,007,097 RSUs to employees, directors, and consultants to be settled in shares of common stock under its 2012 Plan.</w:t>
      </w:r>
    </w:p>
    <w:p>
      <w:pPr>
        <w:spacing w:after="0" w:line="142" w:lineRule="exact"/>
        <w:rPr>
          <w:rFonts w:ascii="Arial" w:cs="Arial" w:eastAsia="Arial" w:hAnsi="Arial"/>
          <w:sz w:val="17"/>
          <w:szCs w:val="17"/>
          <w:color w:val="auto"/>
        </w:rPr>
      </w:pPr>
    </w:p>
    <w:p>
      <w:pPr>
        <w:ind w:left="1000" w:right="360" w:hanging="357"/>
        <w:spacing w:after="0" w:line="308" w:lineRule="auto"/>
        <w:tabs>
          <w:tab w:leader="none" w:pos="10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13,567,489 shares of common stock to its employees, directors, consultants, and other service providers upon exercise of options granted under its 2012 Plan, with purchase prices ranging from $0.001 to $7.50, for an aggregate purchase price of $16.9 million.</w:t>
      </w:r>
    </w:p>
    <w:p>
      <w:pPr>
        <w:spacing w:after="0" w:line="51" w:lineRule="exact"/>
        <w:rPr>
          <w:rFonts w:ascii="Arial" w:cs="Arial" w:eastAsia="Arial" w:hAnsi="Arial"/>
          <w:sz w:val="17"/>
          <w:szCs w:val="17"/>
          <w:color w:val="auto"/>
        </w:rPr>
      </w:pPr>
    </w:p>
    <w:p>
      <w:pPr>
        <w:jc w:val="both"/>
        <w:ind w:left="1000" w:hanging="357"/>
        <w:spacing w:after="0" w:line="311" w:lineRule="auto"/>
        <w:tabs>
          <w:tab w:leader="none" w:pos="10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August 2017, a convertible promissory note in the principal amount of $15.0 million, or the 2017 Note, to the Dustin Moskovitz Trust. The aggregate principal amount and accrued interest on the 2017 Note converted into 2,923,425 shares of the Registrant’s Series D preferred stock at a conversion price of $5.23 per share upon the closing of the Registrant’s Series D preferred stock financing in January 2018.</w:t>
      </w:r>
    </w:p>
    <w:p>
      <w:pPr>
        <w:spacing w:after="0" w:line="54" w:lineRule="exact"/>
        <w:rPr>
          <w:rFonts w:ascii="Arial" w:cs="Arial" w:eastAsia="Arial" w:hAnsi="Arial"/>
          <w:sz w:val="16"/>
          <w:szCs w:val="16"/>
          <w:color w:val="auto"/>
        </w:rPr>
      </w:pPr>
    </w:p>
    <w:p>
      <w:pPr>
        <w:ind w:left="1000" w:right="180" w:hanging="357"/>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two closings in January 2018, 11,429,642 shares of the Registrant’s Series D preferred stock at a purchase price of $5.23 per share for an aggregate purchase price of approximately $59.7 million.</w:t>
      </w:r>
    </w:p>
    <w:p>
      <w:pPr>
        <w:spacing w:after="0" w:line="75" w:lineRule="exact"/>
        <w:rPr>
          <w:rFonts w:ascii="Arial" w:cs="Arial" w:eastAsia="Arial" w:hAnsi="Arial"/>
          <w:sz w:val="18"/>
          <w:szCs w:val="18"/>
          <w:color w:val="auto"/>
        </w:rPr>
      </w:pPr>
    </w:p>
    <w:p>
      <w:pPr>
        <w:ind w:left="1000" w:right="80" w:hanging="357"/>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November 2018, an aggregate of 6,229,843 shares of the Registrant’s Series E preferred stock at a purchase price of $8.19 per share for an aggregate purchase price of approximately $51.0 million.</w:t>
      </w:r>
    </w:p>
    <w:p>
      <w:pPr>
        <w:spacing w:after="0" w:line="75" w:lineRule="exact"/>
        <w:rPr>
          <w:rFonts w:ascii="Arial" w:cs="Arial" w:eastAsia="Arial" w:hAnsi="Arial"/>
          <w:sz w:val="18"/>
          <w:szCs w:val="18"/>
          <w:color w:val="auto"/>
        </w:rPr>
      </w:pPr>
    </w:p>
    <w:p>
      <w:pPr>
        <w:ind w:left="1000" w:right="60" w:hanging="357"/>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January 2020, a 3.5% senior mandatory convertible promissory note due January 30, 2025 in the principal amount of $300.0 million to the Dustin Moskovitz Trust.</w:t>
      </w:r>
    </w:p>
    <w:p>
      <w:pPr>
        <w:spacing w:after="0" w:line="170"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320" w:top="459" w:right="3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35" w:lineRule="exact"/>
        <w:rPr>
          <w:sz w:val="20"/>
          <w:szCs w:val="20"/>
          <w:color w:val="auto"/>
        </w:rPr>
      </w:pPr>
    </w:p>
    <w:p>
      <w:pPr>
        <w:ind w:left="1000" w:hanging="432"/>
        <w:spacing w:after="0"/>
        <w:tabs>
          <w:tab w:leader="none" w:pos="1000"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780" w:type="dxa"/>
            <w:vAlign w:val="bottom"/>
          </w:tcPr>
          <w:p>
            <w:pPr>
              <w:spacing w:after="0"/>
              <w:rPr>
                <w:sz w:val="14"/>
                <w:szCs w:val="14"/>
                <w:color w:val="auto"/>
              </w:rPr>
            </w:pPr>
          </w:p>
        </w:tc>
        <w:tc>
          <w:tcPr>
            <w:tcW w:w="9940" w:type="dxa"/>
            <w:vAlign w:val="bottom"/>
            <w:vMerge w:val="restart"/>
          </w:tcPr>
          <w:p>
            <w:pPr>
              <w:ind w:left="458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780" w:type="dxa"/>
            <w:vAlign w:val="bottom"/>
          </w:tcPr>
          <w:p>
            <w:pPr>
              <w:spacing w:after="0"/>
              <w:rPr>
                <w:sz w:val="14"/>
                <w:szCs w:val="14"/>
                <w:color w:val="auto"/>
              </w:rPr>
            </w:pPr>
          </w:p>
        </w:tc>
        <w:tc>
          <w:tcPr>
            <w:tcW w:w="9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rPr>
              <w:t>Amended and Restated Certificate of Incorporation of the Registrant, as currently in effect</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w w:val="94"/>
              </w:rPr>
              <w:t>Form of Restated Certificate of Incorporation of the Registrant, to be in effect following the effectiveness of the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rPr>
              <w:t>Amended and Restated Bylaws of the Registrant, as currently in effect</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rPr>
              <w:t>Form of Restated Bylaws of the Registrant, to be in effect following the effectiveness of the registration statement</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rPr>
              <w:t>Form of Registrant’s Common Stock Certificate</w:t>
            </w:r>
          </w:p>
        </w:tc>
        <w:tc>
          <w:tcPr>
            <w:tcW w:w="0" w:type="dxa"/>
            <w:vAlign w:val="bottom"/>
          </w:tcPr>
          <w:p>
            <w:pPr>
              <w:spacing w:after="0"/>
              <w:rPr>
                <w:sz w:val="1"/>
                <w:szCs w:val="1"/>
                <w:color w:val="auto"/>
              </w:rPr>
            </w:pPr>
          </w:p>
        </w:tc>
      </w:tr>
      <w:tr>
        <w:trPr>
          <w:trHeight w:val="310"/>
        </w:trPr>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w w:val="90"/>
              </w:rPr>
              <w:t>Amended and Restated Investors’ Rights Agreement, dated as of November 15, 2018, by and among the Registrant and certain investors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rPr>
              <w:t>of the Registrant</w:t>
            </w:r>
          </w:p>
        </w:tc>
        <w:tc>
          <w:tcPr>
            <w:tcW w:w="0" w:type="dxa"/>
            <w:vAlign w:val="bottom"/>
          </w:tcPr>
          <w:p>
            <w:pPr>
              <w:spacing w:after="0"/>
              <w:rPr>
                <w:sz w:val="1"/>
                <w:szCs w:val="1"/>
                <w:color w:val="auto"/>
              </w:rPr>
            </w:pPr>
          </w:p>
        </w:tc>
      </w:tr>
      <w:tr>
        <w:trPr>
          <w:trHeight w:val="310"/>
        </w:trPr>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w w:val="92"/>
              </w:rPr>
              <w:t>Unsecured Senior Mandatory Convertible Promissory Note, dated as of January 30, 2020, by and among the Registrant and the Dustin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rPr>
              <w:t>Moskovitz Trust</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rPr>
              <w:t>Opinion of Orrick, Herrington &amp; Sutcliffe LLP</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10.1*</w:t>
            </w: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rPr>
              <w:t>Form of Indemnification Agreement entered into between the Registrant and each of its directors and executive officers</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w w:val="97"/>
              </w:rPr>
              <w:t>10.2**</w:t>
            </w: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rPr>
              <w:t>2009 Stock Plan, as amended, and forms of agreement thereunder</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w w:val="97"/>
              </w:rPr>
              <w:t>10.3**</w:t>
            </w: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rPr>
              <w:t>Amended and Restated 2012 Stock Plan, and forms of agreement thereunder</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10.4*</w:t>
            </w: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rPr>
              <w:t>2020 Equity Incentive Plan, and forms of agreement thereunder</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10.5*</w:t>
            </w: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rPr>
              <w:t>Offer Letter between Dustin Moskovitz and the Registrant, dated February 4, 2009</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10.6*</w:t>
            </w: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rPr>
              <w:t>Offer Letter between Eleanor Lacey and the Registrant, dated May 30, 2019</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10.7*</w:t>
            </w: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rPr>
              <w:t>Offer Letter between Tim Wan and the Registrant, dated November 20, 2016</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10.8*</w:t>
            </w: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rPr>
              <w:t>Lease between Swig 631 Folsom, LLC, SIC Holdings, LLC. and the Registrant, dated as of February 22, 2019</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10.9*</w:t>
            </w: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rPr>
              <w:t>Lease between AE-Hamm’s Property Owner, LLC and the Registrant, dated as of May 27, 2011, as amended</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w w:val="97"/>
              </w:rPr>
              <w:t>21.1**</w:t>
            </w: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23.1*</w:t>
            </w: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rPr>
              <w:t>Consent of Orrick, Herrington &amp; Sutcliffe LLP (included in Exhibit 5.1)</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23.2*</w:t>
            </w: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24.1*</w:t>
            </w:r>
          </w:p>
        </w:tc>
        <w:tc>
          <w:tcPr>
            <w:tcW w:w="10720" w:type="dxa"/>
            <w:vAlign w:val="bottom"/>
            <w:gridSpan w:val="2"/>
          </w:tcPr>
          <w:p>
            <w:pPr>
              <w:ind w:left="780"/>
              <w:spacing w:after="0"/>
              <w:rPr>
                <w:sz w:val="20"/>
                <w:szCs w:val="20"/>
                <w:color w:val="auto"/>
              </w:rPr>
            </w:pPr>
            <w:r>
              <w:rPr>
                <w:rFonts w:ascii="Arial" w:cs="Arial" w:eastAsia="Arial" w:hAnsi="Arial"/>
                <w:sz w:val="18"/>
                <w:szCs w:val="18"/>
                <w:color w:val="auto"/>
              </w:rPr>
              <w:t>Power of Attorney (included on the signature page to this Registration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0"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To be filed by amendment.</w:t>
      </w: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Previously filed.</w:t>
      </w:r>
    </w:p>
    <w:p>
      <w:pPr>
        <w:spacing w:after="0" w:line="223" w:lineRule="exact"/>
        <w:rPr>
          <w:sz w:val="20"/>
          <w:szCs w:val="20"/>
          <w:color w:val="auto"/>
        </w:rPr>
      </w:pPr>
    </w:p>
    <w:p>
      <w:pPr>
        <w:ind w:left="1000" w:hanging="432"/>
        <w:spacing w:after="0"/>
        <w:tabs>
          <w:tab w:leader="none" w:pos="1000" w:val="left"/>
        </w:tabs>
        <w:numPr>
          <w:ilvl w:val="0"/>
          <w:numId w:val="108"/>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All other financial statement schedules are omitted because they are not applicable or the information is included in the Registrant’s consolidated financial statements or related notes.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459" w:right="3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1000" w:hanging="432"/>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60" w:hanging="453"/>
        <w:spacing w:after="0"/>
        <w:tabs>
          <w:tab w:leader="none" w:pos="14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as amended, or the Securities Act.</w:t>
      </w:r>
    </w:p>
    <w:p>
      <w:pPr>
        <w:spacing w:after="0" w:line="130" w:lineRule="exact"/>
        <w:rPr>
          <w:rFonts w:ascii="Arial" w:cs="Arial" w:eastAsia="Arial" w:hAnsi="Arial"/>
          <w:sz w:val="18"/>
          <w:szCs w:val="18"/>
          <w:color w:val="auto"/>
        </w:rPr>
      </w:pPr>
    </w:p>
    <w:p>
      <w:pPr>
        <w:ind w:left="1460" w:hanging="453"/>
        <w:spacing w:after="0" w:line="263" w:lineRule="auto"/>
        <w:tabs>
          <w:tab w:leader="none" w:pos="14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89" w:lineRule="exact"/>
        <w:rPr>
          <w:rFonts w:ascii="Arial" w:cs="Arial" w:eastAsia="Arial" w:hAnsi="Arial"/>
          <w:sz w:val="18"/>
          <w:szCs w:val="18"/>
          <w:color w:val="auto"/>
        </w:rPr>
      </w:pPr>
    </w:p>
    <w:p>
      <w:pPr>
        <w:ind w:left="1460" w:right="40" w:hanging="453"/>
        <w:spacing w:after="0" w:line="277" w:lineRule="auto"/>
        <w:tabs>
          <w:tab w:leader="none" w:pos="14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jc w:val="both"/>
        <w:ind w:left="1000" w:right="80" w:hanging="432"/>
        <w:spacing w:after="0" w:line="263"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000" w:right="540" w:hanging="432"/>
        <w:spacing w:after="0" w:line="27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1000" w:right="60" w:hanging="432"/>
        <w:spacing w:after="0" w:line="291" w:lineRule="auto"/>
        <w:tabs>
          <w:tab w:leader="none" w:pos="10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00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27" w:lineRule="exact"/>
        <w:rPr>
          <w:rFonts w:ascii="Arial" w:cs="Arial" w:eastAsia="Arial" w:hAnsi="Arial"/>
          <w:sz w:val="16"/>
          <w:szCs w:val="16"/>
          <w:color w:val="auto"/>
        </w:rPr>
      </w:pPr>
    </w:p>
    <w:p>
      <w:pPr>
        <w:jc w:val="both"/>
        <w:ind w:left="1000" w:right="120" w:hanging="432"/>
        <w:spacing w:after="0" w:line="263"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320" w:top="459" w:right="3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Pursuant to the requirements of the Securities Act, the Registrant has duly caused this Registration Statement to be signed on its behalf by the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color w:val="auto"/>
                <w:w w:val="91"/>
              </w:rPr>
              <w:t>undersigned, thereunto duly authorized, in the City of San Francisco, State of California, on</w:t>
            </w:r>
          </w:p>
        </w:tc>
        <w:tc>
          <w:tcPr>
            <w:tcW w:w="4560" w:type="dxa"/>
            <w:vAlign w:val="bottom"/>
            <w:gridSpan w:val="2"/>
          </w:tcPr>
          <w:p>
            <w:pPr>
              <w:jc w:val="right"/>
              <w:ind w:right="3270"/>
              <w:spacing w:after="0"/>
              <w:rPr>
                <w:sz w:val="20"/>
                <w:szCs w:val="20"/>
                <w:color w:val="auto"/>
              </w:rPr>
            </w:pPr>
            <w:r>
              <w:rPr>
                <w:rFonts w:ascii="Arial" w:cs="Arial" w:eastAsia="Arial" w:hAnsi="Arial"/>
                <w:sz w:val="18"/>
                <w:szCs w:val="18"/>
                <w:color w:val="auto"/>
              </w:rPr>
              <w:t>, 2020.</w:t>
            </w:r>
          </w:p>
        </w:tc>
      </w:tr>
      <w:tr>
        <w:trPr>
          <w:trHeight w:val="445"/>
        </w:trPr>
        <w:tc>
          <w:tcPr>
            <w:tcW w:w="6680" w:type="dxa"/>
            <w:vAlign w:val="bottom"/>
          </w:tcPr>
          <w:p>
            <w:pPr>
              <w:spacing w:after="0"/>
              <w:rPr>
                <w:sz w:val="24"/>
                <w:szCs w:val="24"/>
                <w:color w:val="auto"/>
              </w:rPr>
            </w:pPr>
          </w:p>
        </w:tc>
        <w:tc>
          <w:tcPr>
            <w:tcW w:w="4560" w:type="dxa"/>
            <w:vAlign w:val="bottom"/>
            <w:gridSpan w:val="2"/>
          </w:tcPr>
          <w:p>
            <w:pPr>
              <w:ind w:left="80"/>
              <w:spacing w:after="0"/>
              <w:rPr>
                <w:sz w:val="20"/>
                <w:szCs w:val="20"/>
                <w:color w:val="auto"/>
              </w:rPr>
            </w:pPr>
            <w:r>
              <w:rPr>
                <w:rFonts w:ascii="Arial" w:cs="Arial" w:eastAsia="Arial" w:hAnsi="Arial"/>
                <w:sz w:val="18"/>
                <w:szCs w:val="18"/>
                <w:b w:val="1"/>
                <w:bCs w:val="1"/>
                <w:color w:val="auto"/>
              </w:rPr>
              <w:t>ASANA, INC.</w:t>
            </w:r>
          </w:p>
        </w:tc>
      </w:tr>
      <w:tr>
        <w:trPr>
          <w:trHeight w:val="432"/>
        </w:trPr>
        <w:tc>
          <w:tcPr>
            <w:tcW w:w="6680" w:type="dxa"/>
            <w:vAlign w:val="bottom"/>
          </w:tcPr>
          <w:p>
            <w:pPr>
              <w:spacing w:after="0"/>
              <w:rPr>
                <w:sz w:val="24"/>
                <w:szCs w:val="24"/>
                <w:color w:val="auto"/>
              </w:rPr>
            </w:pPr>
          </w:p>
        </w:tc>
        <w:tc>
          <w:tcPr>
            <w:tcW w:w="4560" w:type="dxa"/>
            <w:vAlign w:val="bottom"/>
            <w:gridSpan w:val="2"/>
          </w:tcPr>
          <w:p>
            <w:pPr>
              <w:ind w:left="80"/>
              <w:spacing w:after="0"/>
              <w:rPr>
                <w:sz w:val="20"/>
                <w:szCs w:val="20"/>
                <w:color w:val="auto"/>
              </w:rPr>
            </w:pPr>
            <w:r>
              <w:rPr>
                <w:rFonts w:ascii="Arial" w:cs="Arial" w:eastAsia="Arial" w:hAnsi="Arial"/>
                <w:sz w:val="18"/>
                <w:szCs w:val="18"/>
                <w:color w:val="auto"/>
              </w:rPr>
              <w:t>By:</w:t>
            </w:r>
          </w:p>
        </w:tc>
      </w:tr>
      <w:tr>
        <w:trPr>
          <w:trHeight w:val="209"/>
        </w:trPr>
        <w:tc>
          <w:tcPr>
            <w:tcW w:w="6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Dustin Moskovitz</w:t>
            </w:r>
          </w:p>
        </w:tc>
      </w:tr>
      <w:tr>
        <w:trPr>
          <w:trHeight w:val="230"/>
        </w:trPr>
        <w:tc>
          <w:tcPr>
            <w:tcW w:w="6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120" w:type="dxa"/>
            <w:vAlign w:val="bottom"/>
          </w:tcPr>
          <w:p>
            <w:pPr>
              <w:ind w:left="40"/>
              <w:spacing w:after="0"/>
              <w:rPr>
                <w:sz w:val="20"/>
                <w:szCs w:val="20"/>
                <w:color w:val="auto"/>
              </w:rPr>
            </w:pPr>
            <w:r>
              <w:rPr>
                <w:rFonts w:ascii="Arial" w:cs="Arial" w:eastAsia="Arial" w:hAnsi="Arial"/>
                <w:sz w:val="18"/>
                <w:szCs w:val="18"/>
                <w:color w:val="auto"/>
              </w:rPr>
              <w:t>President, Chief Executive Officer, and Chair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firstLine="449"/>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Dustin Moskovitz, Tim Wan, and Eleanor Lacey, and each of them, as his or her true and lawful attorneys-in-fact and agents, with full power of substitution and resubstitution, for him or her and in his or her name, place and stead, in any and all capacities, to sign the Registration Statement on Form S-1 of Asana, Inc., and any or all amendments (including post-effective amendments) thereto and any new registration statement with respect to the offering contemplated thereby filed pursuant to Rule 462(b) of the Securities Act of 1933, as amended,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connection therewith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18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19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2360" w:type="dxa"/>
            <w:vAlign w:val="bottom"/>
          </w:tcPr>
          <w:p>
            <w:pPr>
              <w:spacing w:after="0"/>
              <w:rPr>
                <w:sz w:val="14"/>
                <w:szCs w:val="14"/>
                <w:color w:val="auto"/>
              </w:rPr>
            </w:pPr>
          </w:p>
        </w:tc>
        <w:tc>
          <w:tcPr>
            <w:tcW w:w="16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Date</w:t>
            </w:r>
          </w:p>
        </w:tc>
      </w:tr>
      <w:tr>
        <w:trPr>
          <w:trHeight w:val="20"/>
        </w:trPr>
        <w:tc>
          <w:tcPr>
            <w:tcW w:w="19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18"/>
        </w:trPr>
        <w:tc>
          <w:tcPr>
            <w:tcW w:w="1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spacing w:after="0"/>
              <w:rPr>
                <w:sz w:val="20"/>
                <w:szCs w:val="20"/>
                <w:color w:val="auto"/>
              </w:rPr>
            </w:pPr>
            <w:r>
              <w:rPr>
                <w:rFonts w:ascii="Arial" w:cs="Arial" w:eastAsia="Arial" w:hAnsi="Arial"/>
                <w:sz w:val="18"/>
                <w:szCs w:val="18"/>
                <w:color w:val="auto"/>
                <w:w w:val="91"/>
              </w:rPr>
              <w:t>President, Chief Executive Officer, and Chair</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160" w:type="dxa"/>
            <w:vAlign w:val="bottom"/>
            <w:gridSpan w:val="3"/>
          </w:tcPr>
          <w:p>
            <w:pPr>
              <w:jc w:val="center"/>
              <w:spacing w:after="0"/>
              <w:rPr>
                <w:sz w:val="20"/>
                <w:szCs w:val="20"/>
                <w:color w:val="auto"/>
              </w:rPr>
            </w:pPr>
            <w:r>
              <w:rPr>
                <w:rFonts w:ascii="Arial" w:cs="Arial" w:eastAsia="Arial" w:hAnsi="Arial"/>
                <w:sz w:val="18"/>
                <w:szCs w:val="18"/>
                <w:color w:val="auto"/>
                <w:w w:val="94"/>
              </w:rPr>
              <w:t>Dustin Moskovitz</w:t>
            </w:r>
          </w:p>
        </w:tc>
        <w:tc>
          <w:tcPr>
            <w:tcW w:w="506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spacing w:after="0"/>
              <w:rPr>
                <w:sz w:val="20"/>
                <w:szCs w:val="20"/>
                <w:color w:val="auto"/>
              </w:rPr>
            </w:pPr>
            <w:r>
              <w:rPr>
                <w:rFonts w:ascii="Arial" w:cs="Arial" w:eastAsia="Arial" w:hAnsi="Arial"/>
                <w:sz w:val="18"/>
                <w:szCs w:val="18"/>
                <w:color w:val="auto"/>
                <w:w w:val="93"/>
              </w:rPr>
              <w:t>Chief Financial Officer</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160" w:type="dxa"/>
            <w:vAlign w:val="bottom"/>
            <w:gridSpan w:val="3"/>
          </w:tcPr>
          <w:p>
            <w:pPr>
              <w:jc w:val="center"/>
              <w:spacing w:after="0"/>
              <w:rPr>
                <w:sz w:val="20"/>
                <w:szCs w:val="20"/>
                <w:color w:val="auto"/>
              </w:rPr>
            </w:pPr>
            <w:r>
              <w:rPr>
                <w:rFonts w:ascii="Arial" w:cs="Arial" w:eastAsia="Arial" w:hAnsi="Arial"/>
                <w:sz w:val="18"/>
                <w:szCs w:val="18"/>
                <w:color w:val="auto"/>
                <w:w w:val="94"/>
              </w:rPr>
              <w:t>Tim Wan</w:t>
            </w:r>
          </w:p>
        </w:tc>
        <w:tc>
          <w:tcPr>
            <w:tcW w:w="506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(Principal Financial and Accounting Officer)</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160" w:type="dxa"/>
            <w:vAlign w:val="bottom"/>
            <w:gridSpan w:val="3"/>
          </w:tcPr>
          <w:p>
            <w:pPr>
              <w:jc w:val="center"/>
              <w:spacing w:after="0"/>
              <w:rPr>
                <w:sz w:val="20"/>
                <w:szCs w:val="20"/>
                <w:color w:val="auto"/>
              </w:rPr>
            </w:pPr>
            <w:r>
              <w:rPr>
                <w:rFonts w:ascii="Arial" w:cs="Arial" w:eastAsia="Arial" w:hAnsi="Arial"/>
                <w:sz w:val="18"/>
                <w:szCs w:val="18"/>
                <w:color w:val="auto"/>
                <w:w w:val="88"/>
              </w:rPr>
              <w:t>Sydney Carey</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160" w:type="dxa"/>
            <w:vAlign w:val="bottom"/>
            <w:gridSpan w:val="3"/>
          </w:tcPr>
          <w:p>
            <w:pPr>
              <w:jc w:val="center"/>
              <w:spacing w:after="0"/>
              <w:rPr>
                <w:sz w:val="20"/>
                <w:szCs w:val="20"/>
                <w:color w:val="auto"/>
              </w:rPr>
            </w:pPr>
            <w:r>
              <w:rPr>
                <w:rFonts w:ascii="Arial" w:cs="Arial" w:eastAsia="Arial" w:hAnsi="Arial"/>
                <w:sz w:val="18"/>
                <w:szCs w:val="18"/>
                <w:color w:val="auto"/>
                <w:w w:val="91"/>
              </w:rPr>
              <w:t>Matthew Cohler</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160" w:type="dxa"/>
            <w:vAlign w:val="bottom"/>
            <w:gridSpan w:val="3"/>
          </w:tcPr>
          <w:p>
            <w:pPr>
              <w:jc w:val="center"/>
              <w:spacing w:after="0"/>
              <w:rPr>
                <w:sz w:val="20"/>
                <w:szCs w:val="20"/>
                <w:color w:val="auto"/>
              </w:rPr>
            </w:pPr>
            <w:r>
              <w:rPr>
                <w:rFonts w:ascii="Arial" w:cs="Arial" w:eastAsia="Arial" w:hAnsi="Arial"/>
                <w:sz w:val="18"/>
                <w:szCs w:val="18"/>
                <w:color w:val="auto"/>
                <w:w w:val="95"/>
              </w:rPr>
              <w:t>Adam D’Angelo</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160" w:type="dxa"/>
            <w:vAlign w:val="bottom"/>
            <w:gridSpan w:val="3"/>
          </w:tcPr>
          <w:p>
            <w:pPr>
              <w:jc w:val="center"/>
              <w:spacing w:after="0"/>
              <w:rPr>
                <w:sz w:val="20"/>
                <w:szCs w:val="20"/>
                <w:color w:val="auto"/>
              </w:rPr>
            </w:pPr>
            <w:r>
              <w:rPr>
                <w:rFonts w:ascii="Arial" w:cs="Arial" w:eastAsia="Arial" w:hAnsi="Arial"/>
                <w:sz w:val="18"/>
                <w:szCs w:val="18"/>
                <w:color w:val="auto"/>
                <w:w w:val="94"/>
              </w:rPr>
              <w:t>Lorrie Norrington</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160" w:type="dxa"/>
            <w:vAlign w:val="bottom"/>
            <w:gridSpan w:val="3"/>
          </w:tcPr>
          <w:p>
            <w:pPr>
              <w:jc w:val="center"/>
              <w:spacing w:after="0"/>
              <w:rPr>
                <w:sz w:val="20"/>
                <w:szCs w:val="20"/>
                <w:color w:val="auto"/>
              </w:rPr>
            </w:pPr>
            <w:r>
              <w:rPr>
                <w:rFonts w:ascii="Arial" w:cs="Arial" w:eastAsia="Arial" w:hAnsi="Arial"/>
                <w:sz w:val="18"/>
                <w:szCs w:val="18"/>
                <w:color w:val="auto"/>
                <w:w w:val="94"/>
              </w:rPr>
              <w:t>Anne Raimondi</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23"/>
        </w:trPr>
        <w:tc>
          <w:tcPr>
            <w:tcW w:w="1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0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4160" w:type="dxa"/>
            <w:vAlign w:val="bottom"/>
            <w:gridSpan w:val="3"/>
          </w:tcPr>
          <w:p>
            <w:pPr>
              <w:jc w:val="center"/>
              <w:spacing w:after="0"/>
              <w:rPr>
                <w:sz w:val="20"/>
                <w:szCs w:val="20"/>
                <w:color w:val="auto"/>
              </w:rPr>
            </w:pPr>
            <w:r>
              <w:rPr>
                <w:rFonts w:ascii="Arial" w:cs="Arial" w:eastAsia="Arial" w:hAnsi="Arial"/>
                <w:sz w:val="18"/>
                <w:szCs w:val="18"/>
                <w:color w:val="auto"/>
                <w:w w:val="87"/>
              </w:rPr>
              <w:t>Justin Rosenstein</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sectPr>
      <w:pgSz w:w="11900" w:h="16838" w:orient="portrait"/>
      <w:cols w:equalWidth="0" w:num="1">
        <w:col w:w="11240"/>
      </w:cols>
      <w:pgMar w:left="32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1)"/>
      <w:numFmt w:val="decimal"/>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1)"/>
      <w:numFmt w:val="decimal"/>
      <w:start w:val="1"/>
    </w:lvl>
  </w:abstractNum>
  <w:abstractNum w:abstractNumId="13">
    <w:nsid w:val="61574095"/>
    <w:multiLevelType w:val="hybridMultilevel"/>
    <w:lvl w:ilvl="0">
      <w:lvlJc w:val="left"/>
      <w:lvlText w:val="(%1)"/>
      <w:numFmt w:val="decimal"/>
      <w:start w:val="2"/>
    </w:lvl>
  </w:abstractNum>
  <w:abstractNum w:abstractNumId="14">
    <w:nsid w:val="7E0C57B1"/>
    <w:multiLevelType w:val="hybridMultilevel"/>
    <w:lvl w:ilvl="0">
      <w:lvlJc w:val="left"/>
      <w:lvlText w:val="(%1)"/>
      <w:numFmt w:val="decimal"/>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1)"/>
      <w:numFmt w:val="lowerLetter"/>
      <w:start w:val="25"/>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1)"/>
      <w:numFmt w:val="decimal"/>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lvl w:ilvl="1">
      <w:lvlJc w:val="left"/>
      <w:lvlText w:val="•"/>
      <w:numFmt w:val="bullet"/>
      <w:start w:val="1"/>
    </w:lvl>
  </w:abstractNum>
  <w:abstractNum w:abstractNumId="39">
    <w:nsid w:val="7BD3EE7B"/>
    <w:multiLevelType w:val="hybridMultilevel"/>
    <w:lvl w:ilvl="0">
      <w:lvlJc w:val="left"/>
      <w:lvlText w:val="(%1)"/>
      <w:numFmt w:val="decimal"/>
      <w:start w:val="1"/>
    </w:lvl>
  </w:abstractNum>
  <w:abstractNum w:abstractNumId="40">
    <w:nsid w:val="51D9C564"/>
    <w:multiLevelType w:val="hybridMultilevel"/>
    <w:lvl w:ilvl="0">
      <w:lvlJc w:val="left"/>
      <w:lvlText w:val="(%1)"/>
      <w:numFmt w:val="decimal"/>
      <w:start w:val="2"/>
    </w:lvl>
  </w:abstractNum>
  <w:abstractNum w:abstractNumId="41">
    <w:nsid w:val="613EFDC5"/>
    <w:multiLevelType w:val="hybridMultilevel"/>
    <w:lvl w:ilvl="0">
      <w:lvlJc w:val="left"/>
      <w:lvlText w:val="(%1)"/>
      <w:numFmt w:val="decimal"/>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1)"/>
      <w:numFmt w:val="decimal"/>
      <w:start w:val="1"/>
    </w:lvl>
  </w:abstractNum>
  <w:abstractNum w:abstractNumId="44">
    <w:nsid w:val="42963E5A"/>
    <w:multiLevelType w:val="hybridMultilevel"/>
    <w:lvl w:ilvl="0">
      <w:lvlJc w:val="left"/>
      <w:lvlText w:val="(%1)"/>
      <w:numFmt w:val="decimal"/>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
      <w:numFmt w:val="bullet"/>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1)"/>
      <w:numFmt w:val="decimal"/>
      <w:start w:val="1"/>
    </w:lvl>
  </w:abstractNum>
  <w:abstractNum w:abstractNumId="59">
    <w:nsid w:val="6EB5BD4"/>
    <w:multiLevelType w:val="hybridMultilevel"/>
    <w:lvl w:ilvl="0">
      <w:lvlJc w:val="left"/>
      <w:lvlText w:val="•"/>
      <w:numFmt w:val="bullet"/>
      <w:start w:val="1"/>
    </w:lvl>
  </w:abstractNum>
  <w:abstractNum w:abstractNumId="60">
    <w:nsid w:val="6F6DD9AC"/>
    <w:multiLevelType w:val="hybridMultilevel"/>
    <w:lvl w:ilvl="0">
      <w:lvlJc w:val="left"/>
      <w:lvlText w:val="•"/>
      <w:numFmt w:val="bullet"/>
      <w:start w:val="1"/>
    </w:lvl>
  </w:abstractNum>
  <w:abstractNum w:abstractNumId="61">
    <w:nsid w:val="94211F2"/>
    <w:multiLevelType w:val="hybridMultilevel"/>
    <w:lvl w:ilvl="0">
      <w:lvlJc w:val="left"/>
      <w:lvlText w:val="•"/>
      <w:numFmt w:val="bullet"/>
      <w:start w:val="1"/>
    </w:lvl>
  </w:abstractNum>
  <w:abstractNum w:abstractNumId="62">
    <w:nsid w:val="885E1B"/>
    <w:multiLevelType w:val="hybridMultilevel"/>
    <w:lvl w:ilvl="0">
      <w:lvlJc w:val="left"/>
      <w:lvlText w:val="•"/>
      <w:numFmt w:val="bullet"/>
      <w:start w:val="1"/>
    </w:lvl>
  </w:abstractNum>
  <w:abstractNum w:abstractNumId="63">
    <w:nsid w:val="76272110"/>
    <w:multiLevelType w:val="hybridMultilevel"/>
    <w:lvl w:ilvl="0">
      <w:lvlJc w:val="left"/>
      <w:lvlText w:val="(%1)"/>
      <w:numFmt w:val="decimal"/>
      <w:start w:val="1"/>
    </w:lvl>
  </w:abstractNum>
  <w:abstractNum w:abstractNumId="64">
    <w:nsid w:val="4C04A8AF"/>
    <w:multiLevelType w:val="hybridMultilevel"/>
    <w:lvl w:ilvl="0">
      <w:lvlJc w:val="left"/>
      <w:lvlText w:val="(%1)"/>
      <w:numFmt w:val="decimal"/>
      <w:start w:val="1"/>
    </w:lvl>
  </w:abstractNum>
  <w:abstractNum w:abstractNumId="65">
    <w:nsid w:val="1716703B"/>
    <w:multiLevelType w:val="hybridMultilevel"/>
    <w:lvl w:ilvl="0">
      <w:lvlJc w:val="left"/>
      <w:lvlText w:val="(%1)"/>
      <w:numFmt w:val="decimal"/>
      <w:start w:val="1"/>
    </w:lvl>
  </w:abstractNum>
  <w:abstractNum w:abstractNumId="66">
    <w:nsid w:val="14E17E33"/>
    <w:multiLevelType w:val="hybridMultilevel"/>
    <w:lvl w:ilvl="0">
      <w:lvlJc w:val="left"/>
      <w:lvlText w:val="(%1)"/>
      <w:numFmt w:val="decimal"/>
      <w:start w:val="2"/>
    </w:lvl>
  </w:abstractNum>
  <w:abstractNum w:abstractNumId="67">
    <w:nsid w:val="3222E7CD"/>
    <w:multiLevelType w:val="hybridMultilevel"/>
    <w:lvl w:ilvl="0">
      <w:lvlJc w:val="left"/>
      <w:lvlText w:val="(%1)"/>
      <w:numFmt w:val="decimal"/>
      <w:start w:val="1"/>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1)"/>
      <w:numFmt w:val="decimal"/>
      <w:start w:val="1"/>
    </w:lvl>
  </w:abstractNum>
  <w:abstractNum w:abstractNumId="70">
    <w:nsid w:val="2DF6D648"/>
    <w:multiLevelType w:val="hybridMultilevel"/>
    <w:lvl w:ilvl="0">
      <w:lvlJc w:val="left"/>
      <w:lvlText w:val="•"/>
      <w:numFmt w:val="bullet"/>
      <w:start w:val="1"/>
    </w:lvl>
  </w:abstractNum>
  <w:abstractNum w:abstractNumId="71">
    <w:nsid w:val="46B7D447"/>
    <w:multiLevelType w:val="hybridMultilevel"/>
    <w:lvl w:ilvl="0">
      <w:lvlJc w:val="left"/>
      <w:lvlText w:val="•"/>
      <w:numFmt w:val="bullet"/>
      <w:start w:val="1"/>
    </w:lvl>
  </w:abstractNum>
  <w:abstractNum w:abstractNumId="72">
    <w:nsid w:val="4A2AC315"/>
    <w:multiLevelType w:val="hybridMultilevel"/>
    <w:lvl w:ilvl="0">
      <w:lvlJc w:val="left"/>
      <w:lvlText w:val="(%1)"/>
      <w:numFmt w:val="decimal"/>
      <w:start w:val="1"/>
    </w:lvl>
  </w:abstractNum>
  <w:abstractNum w:abstractNumId="73">
    <w:nsid w:val="39EE015C"/>
    <w:multiLevelType w:val="hybridMultilevel"/>
    <w:lvl w:ilvl="0">
      <w:lvlJc w:val="left"/>
      <w:lvlText w:val="(%1)"/>
      <w:numFmt w:val="decimal"/>
      <w:start w:val="1"/>
    </w:lvl>
  </w:abstractNum>
  <w:abstractNum w:abstractNumId="74">
    <w:nsid w:val="57FC4FBB"/>
    <w:multiLevelType w:val="hybridMultilevel"/>
    <w:lvl w:ilvl="0">
      <w:lvlJc w:val="left"/>
      <w:lvlText w:val="•"/>
      <w:numFmt w:val="bullet"/>
      <w:start w:val="1"/>
    </w:lvl>
  </w:abstractNum>
  <w:abstractNum w:abstractNumId="75">
    <w:nsid w:val="CC1016F"/>
    <w:multiLevelType w:val="hybridMultilevel"/>
    <w:lvl w:ilvl="0">
      <w:lvlJc w:val="left"/>
      <w:lvlText w:val="*"/>
      <w:numFmt w:val="bullet"/>
      <w:start w:val="1"/>
    </w:lvl>
  </w:abstractNum>
  <w:abstractNum w:abstractNumId="76">
    <w:nsid w:val="43F18422"/>
    <w:multiLevelType w:val="hybridMultilevel"/>
    <w:lvl w:ilvl="0">
      <w:lvlJc w:val="left"/>
      <w:lvlText w:val="(%1)"/>
      <w:numFmt w:val="decimal"/>
      <w:start w:val="1"/>
    </w:lvl>
  </w:abstractNum>
  <w:abstractNum w:abstractNumId="77">
    <w:nsid w:val="60EF0119"/>
    <w:multiLevelType w:val="hybridMultilevel"/>
    <w:lvl w:ilvl="0">
      <w:lvlJc w:val="left"/>
      <w:lvlText w:val="(%1)"/>
      <w:numFmt w:val="decimal"/>
      <w:start w:val="2"/>
    </w:lvl>
  </w:abstractNum>
  <w:abstractNum w:abstractNumId="78">
    <w:nsid w:val="26F324BA"/>
    <w:multiLevelType w:val="hybridMultilevel"/>
    <w:lvl w:ilvl="0">
      <w:lvlJc w:val="left"/>
      <w:lvlText w:val="•"/>
      <w:numFmt w:val="bullet"/>
      <w:start w:val="1"/>
    </w:lvl>
  </w:abstractNum>
  <w:abstractNum w:abstractNumId="79">
    <w:nsid w:val="7F01579B"/>
    <w:multiLevelType w:val="hybridMultilevel"/>
    <w:lvl w:ilvl="0">
      <w:lvlJc w:val="left"/>
      <w:lvlText w:val="•"/>
      <w:numFmt w:val="bullet"/>
      <w:start w:val="1"/>
    </w:lvl>
  </w:abstractNum>
  <w:abstractNum w:abstractNumId="80">
    <w:nsid w:val="49DA307D"/>
    <w:multiLevelType w:val="hybridMultilevel"/>
    <w:lvl w:ilvl="0">
      <w:lvlJc w:val="left"/>
      <w:lvlText w:val="•"/>
      <w:numFmt w:val="bullet"/>
      <w:start w:val="1"/>
    </w:lvl>
  </w:abstractNum>
  <w:abstractNum w:abstractNumId="81">
    <w:nsid w:val="7055A5F5"/>
    <w:multiLevelType w:val="hybridMultilevel"/>
    <w:lvl w:ilvl="0">
      <w:lvlJc w:val="left"/>
      <w:lvlText w:val="(%1)"/>
      <w:numFmt w:val="lowerLetter"/>
      <w:start w:val="25"/>
    </w:lvl>
  </w:abstractNum>
  <w:abstractNum w:abstractNumId="82">
    <w:nsid w:val="5FB8370B"/>
    <w:multiLevelType w:val="hybridMultilevel"/>
    <w:lvl w:ilvl="0">
      <w:lvlJc w:val="left"/>
      <w:lvlText w:val="(%1)"/>
      <w:numFmt w:val="lowerRoman"/>
      <w:start w:val="1"/>
    </w:lvl>
  </w:abstractNum>
  <w:abstractNum w:abstractNumId="83">
    <w:nsid w:val="50801EE1"/>
    <w:multiLevelType w:val="hybridMultilevel"/>
    <w:lvl w:ilvl="0">
      <w:lvlJc w:val="left"/>
      <w:lvlText w:val="(%1)"/>
      <w:numFmt w:val="decimal"/>
      <w:start w:val="4"/>
    </w:lvl>
  </w:abstractNum>
  <w:abstractNum w:abstractNumId="84">
    <w:nsid w:val="488AC1A"/>
    <w:multiLevelType w:val="hybridMultilevel"/>
    <w:lvl w:ilvl="0">
      <w:lvlJc w:val="left"/>
      <w:lvlText w:val="(%1)"/>
      <w:numFmt w:val="decimal"/>
      <w:start w:val="4"/>
    </w:lvl>
  </w:abstractNum>
  <w:abstractNum w:abstractNumId="85">
    <w:nsid w:val="5FB8011C"/>
    <w:multiLevelType w:val="hybridMultilevel"/>
    <w:lvl w:ilvl="0">
      <w:lvlJc w:val="left"/>
      <w:lvlText w:val="•"/>
      <w:numFmt w:val="bullet"/>
      <w:start w:val="1"/>
    </w:lvl>
  </w:abstractNum>
  <w:abstractNum w:abstractNumId="86">
    <w:nsid w:val="6AA78F7F"/>
    <w:multiLevelType w:val="hybridMultilevel"/>
    <w:lvl w:ilvl="0">
      <w:lvlJc w:val="left"/>
      <w:lvlText w:val="(%1)"/>
      <w:numFmt w:val="decimal"/>
      <w:start w:val="1"/>
    </w:lvl>
  </w:abstractNum>
  <w:abstractNum w:abstractNumId="87">
    <w:nsid w:val="7672BD23"/>
    <w:multiLevelType w:val="hybridMultilevel"/>
    <w:lvl w:ilvl="0">
      <w:lvlJc w:val="left"/>
      <w:lvlText w:val="•"/>
      <w:numFmt w:val="bullet"/>
      <w:start w:val="1"/>
    </w:lvl>
  </w:abstractNum>
  <w:abstractNum w:abstractNumId="88">
    <w:nsid w:val="6FC75AF8"/>
    <w:multiLevelType w:val="hybridMultilevel"/>
    <w:lvl w:ilvl="0">
      <w:lvlJc w:val="left"/>
      <w:lvlText w:val="•"/>
      <w:numFmt w:val="bullet"/>
      <w:start w:val="1"/>
    </w:lvl>
  </w:abstractNum>
  <w:abstractNum w:abstractNumId="89">
    <w:nsid w:val="6A5F7029"/>
    <w:multiLevelType w:val="hybridMultilevel"/>
    <w:lvl w:ilvl="0">
      <w:lvlJc w:val="left"/>
      <w:lvlText w:val="•"/>
      <w:numFmt w:val="bullet"/>
      <w:start w:val="1"/>
    </w:lvl>
  </w:abstractNum>
  <w:abstractNum w:abstractNumId="90">
    <w:nsid w:val="7D5E18F8"/>
    <w:multiLevelType w:val="hybridMultilevel"/>
    <w:lvl w:ilvl="0">
      <w:lvlJc w:val="left"/>
      <w:lvlText w:val="$"/>
      <w:numFmt w:val="bullet"/>
      <w:start w:val="1"/>
    </w:lvl>
  </w:abstractNum>
  <w:abstractNum w:abstractNumId="91">
    <w:nsid w:val="5F3534A4"/>
    <w:multiLevelType w:val="hybridMultilevel"/>
    <w:lvl w:ilvl="0">
      <w:lvlJc w:val="left"/>
      <w:lvlText w:val="$"/>
      <w:numFmt w:val="bullet"/>
      <w:start w:val="1"/>
    </w:lvl>
  </w:abstractNum>
  <w:abstractNum w:abstractNumId="92">
    <w:nsid w:val="73A1821B"/>
    <w:multiLevelType w:val="hybridMultilevel"/>
    <w:lvl w:ilvl="0">
      <w:lvlJc w:val="left"/>
      <w:lvlText w:val="$"/>
      <w:numFmt w:val="bullet"/>
      <w:start w:val="1"/>
    </w:lvl>
  </w:abstractNum>
  <w:abstractNum w:abstractNumId="93">
    <w:nsid w:val="7DE67713"/>
    <w:multiLevelType w:val="hybridMultilevel"/>
    <w:lvl w:ilvl="0">
      <w:lvlJc w:val="left"/>
      <w:lvlText w:val="$"/>
      <w:numFmt w:val="bullet"/>
      <w:start w:val="1"/>
    </w:lvl>
  </w:abstractNum>
  <w:abstractNum w:abstractNumId="94">
    <w:nsid w:val="555C55B5"/>
    <w:multiLevelType w:val="hybridMultilevel"/>
    <w:lvl w:ilvl="0">
      <w:lvlJc w:val="left"/>
      <w:lvlText w:val="$"/>
      <w:numFmt w:val="bullet"/>
      <w:start w:val="1"/>
    </w:lvl>
  </w:abstractNum>
  <w:abstractNum w:abstractNumId="95">
    <w:nsid w:val="3FA62ACA"/>
    <w:multiLevelType w:val="hybridMultilevel"/>
    <w:lvl w:ilvl="0">
      <w:lvlJc w:val="left"/>
      <w:lvlText w:val="•"/>
      <w:numFmt w:val="bullet"/>
      <w:start w:val="1"/>
    </w:lvl>
  </w:abstractNum>
  <w:abstractNum w:abstractNumId="96">
    <w:nsid w:val="14FCE74E"/>
    <w:multiLevelType w:val="hybridMultilevel"/>
    <w:lvl w:ilvl="0">
      <w:lvlJc w:val="left"/>
      <w:lvlText w:val="•"/>
      <w:numFmt w:val="bullet"/>
      <w:start w:val="1"/>
    </w:lvl>
  </w:abstractNum>
  <w:abstractNum w:abstractNumId="97">
    <w:nsid w:val="6A3DD3E8"/>
    <w:multiLevelType w:val="hybridMultilevel"/>
    <w:lvl w:ilvl="0">
      <w:lvlJc w:val="left"/>
      <w:lvlText w:val="$"/>
      <w:numFmt w:val="bullet"/>
      <w:start w:val="1"/>
    </w:lvl>
  </w:abstractNum>
  <w:abstractNum w:abstractNumId="98">
    <w:nsid w:val="71C91298"/>
    <w:multiLevelType w:val="hybridMultilevel"/>
    <w:lvl w:ilvl="0">
      <w:lvlJc w:val="left"/>
      <w:lvlText w:val="$"/>
      <w:numFmt w:val="bullet"/>
      <w:start w:val="1"/>
    </w:lvl>
  </w:abstractNum>
  <w:abstractNum w:abstractNumId="99">
    <w:nsid w:val="9DAF632"/>
    <w:multiLevelType w:val="hybridMultilevel"/>
    <w:lvl w:ilvl="0">
      <w:lvlJc w:val="left"/>
      <w:lvlText w:val="$"/>
      <w:numFmt w:val="bullet"/>
      <w:start w:val="1"/>
    </w:lvl>
  </w:abstractNum>
  <w:abstractNum w:abstractNumId="100">
    <w:nsid w:val="53299938"/>
    <w:multiLevelType w:val="hybridMultilevel"/>
    <w:lvl w:ilvl="0">
      <w:lvlJc w:val="left"/>
      <w:lvlText w:val="$"/>
      <w:numFmt w:val="bullet"/>
      <w:start w:val="1"/>
    </w:lvl>
  </w:abstractNum>
  <w:abstractNum w:abstractNumId="101">
    <w:nsid w:val="1FBFE8E0"/>
    <w:multiLevelType w:val="hybridMultilevel"/>
    <w:lvl w:ilvl="0">
      <w:lvlJc w:val="left"/>
      <w:lvlText w:val="(%1)"/>
      <w:numFmt w:val="decimal"/>
      <w:start w:val="100"/>
    </w:lvl>
  </w:abstractNum>
  <w:abstractNum w:abstractNumId="102">
    <w:nsid w:val="5092CA79"/>
    <w:multiLevelType w:val="hybridMultilevel"/>
    <w:lvl w:ilvl="0">
      <w:lvlJc w:val="left"/>
      <w:lvlText w:val="*"/>
      <w:numFmt w:val="bullet"/>
      <w:start w:val="1"/>
    </w:lvl>
  </w:abstractNum>
  <w:abstractNum w:abstractNumId="103">
    <w:nsid w:val="1D545C4D"/>
    <w:multiLevelType w:val="hybridMultilevel"/>
    <w:lvl w:ilvl="0">
      <w:lvlJc w:val="left"/>
      <w:lvlText w:val="%1."/>
      <w:numFmt w:val="decimal"/>
      <w:start w:val="1"/>
    </w:lvl>
  </w:abstractNum>
  <w:abstractNum w:abstractNumId="104">
    <w:nsid w:val="59ADEA3D"/>
    <w:multiLevelType w:val="hybridMultilevel"/>
    <w:lvl w:ilvl="0">
      <w:lvlJc w:val="left"/>
      <w:lvlText w:val="%1."/>
      <w:numFmt w:val="decimal"/>
      <w:start w:val="2"/>
    </w:lvl>
  </w:abstractNum>
  <w:abstractNum w:abstractNumId="105">
    <w:nsid w:val="288F1A34"/>
    <w:multiLevelType w:val="hybridMultilevel"/>
    <w:lvl w:ilvl="0">
      <w:lvlJc w:val="left"/>
      <w:lvlText w:val="(%1)"/>
      <w:numFmt w:val="lowerLetter"/>
      <w:start w:val="1"/>
    </w:lvl>
  </w:abstractNum>
  <w:abstractNum w:abstractNumId="106">
    <w:nsid w:val="2A155DBC"/>
    <w:multiLevelType w:val="hybridMultilevel"/>
    <w:lvl w:ilvl="0">
      <w:lvlJc w:val="left"/>
      <w:lvlText w:val="*"/>
      <w:numFmt w:val="bullet"/>
      <w:start w:val="1"/>
    </w:lvl>
  </w:abstractNum>
  <w:abstractNum w:abstractNumId="107">
    <w:nsid w:val="1D9F6E5F"/>
    <w:multiLevelType w:val="hybridMultilevel"/>
    <w:lvl w:ilvl="0">
      <w:lvlJc w:val="left"/>
      <w:lvlText w:val="(%1)"/>
      <w:numFmt w:val="lowerLetter"/>
      <w:start w:val="2"/>
    </w:lvl>
  </w:abstractNum>
  <w:abstractNum w:abstractNumId="108">
    <w:nsid w:val="97E1B4E"/>
    <w:multiLevelType w:val="hybridMultilevel"/>
    <w:lvl w:ilvl="0">
      <w:lvlJc w:val="left"/>
      <w:lvlText w:val="(%1)"/>
      <w:numFmt w:val="decimal"/>
      <w:start w:val="1"/>
    </w:lvl>
    <w:lvl w:ilvl="1">
      <w:lvlJc w:val="left"/>
      <w:lvlText w:val="(%2)"/>
      <w:numFmt w:val="lowerRoman"/>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2020-08-31T00:08:59Z</dcterms:created>
  <dcterms:modified xsi:type="dcterms:W3CDTF">2020-08-31T00:08:59Z</dcterms:modified>
</cp:coreProperties>
</file>